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09D" w:rsidRPr="00AC533A" w:rsidRDefault="00B4009D" w:rsidP="004C1928">
      <w:pPr>
        <w:spacing w:after="0" w:line="240" w:lineRule="auto"/>
        <w:jc w:val="center"/>
        <w:rPr>
          <w:rFonts w:ascii="Arial" w:hAnsi="Arial" w:cs="Arial"/>
          <w:b/>
          <w:bCs/>
          <w:sz w:val="20"/>
          <w:szCs w:val="20"/>
          <w:u w:val="single"/>
        </w:rPr>
      </w:pPr>
      <w:r w:rsidRPr="00AC533A">
        <w:rPr>
          <w:rFonts w:ascii="Arial" w:hAnsi="Arial" w:cs="Arial"/>
          <w:b/>
          <w:bCs/>
          <w:sz w:val="20"/>
          <w:szCs w:val="20"/>
          <w:u w:val="single"/>
        </w:rPr>
        <w:t>SUSTENTO TECNICO</w:t>
      </w:r>
    </w:p>
    <w:p w:rsidR="00B4009D" w:rsidRPr="00AC533A" w:rsidRDefault="00B4009D" w:rsidP="004C1928">
      <w:pPr>
        <w:spacing w:after="0" w:line="240" w:lineRule="auto"/>
        <w:jc w:val="center"/>
        <w:rPr>
          <w:rFonts w:ascii="Arial" w:hAnsi="Arial" w:cs="Arial"/>
          <w:b/>
          <w:bCs/>
          <w:sz w:val="20"/>
          <w:szCs w:val="20"/>
          <w:u w:val="single"/>
        </w:rPr>
      </w:pPr>
    </w:p>
    <w:p w:rsidR="00B4009D" w:rsidRPr="00AC533A" w:rsidRDefault="00B4009D" w:rsidP="004C1928">
      <w:pPr>
        <w:spacing w:after="0" w:line="240" w:lineRule="auto"/>
        <w:jc w:val="center"/>
        <w:rPr>
          <w:rFonts w:ascii="Arial" w:hAnsi="Arial" w:cs="Arial"/>
          <w:b/>
          <w:bCs/>
          <w:sz w:val="20"/>
          <w:szCs w:val="20"/>
          <w:u w:val="single"/>
          <w:lang w:val="es-PE"/>
        </w:rPr>
      </w:pPr>
      <w:r w:rsidRPr="00AC533A">
        <w:rPr>
          <w:rFonts w:ascii="Arial" w:hAnsi="Arial" w:cs="Arial"/>
          <w:b/>
          <w:bCs/>
          <w:sz w:val="20"/>
          <w:szCs w:val="20"/>
          <w:u w:val="single"/>
          <w:lang w:val="es-PE"/>
        </w:rPr>
        <w:t>RELEVANCIA DE LA ACUICULTURA EN LA ESTRUCTURA DEL VICEMINISTERIO DE PESQUERÍA</w:t>
      </w:r>
    </w:p>
    <w:p w:rsidR="00B4009D" w:rsidRPr="00AC533A" w:rsidRDefault="00B4009D" w:rsidP="004C1928">
      <w:pPr>
        <w:spacing w:after="0" w:line="240" w:lineRule="auto"/>
        <w:jc w:val="center"/>
        <w:rPr>
          <w:rFonts w:ascii="Arial" w:hAnsi="Arial" w:cs="Arial"/>
          <w:b/>
          <w:bCs/>
          <w:sz w:val="20"/>
          <w:szCs w:val="20"/>
          <w:lang w:val="es-PE"/>
        </w:rPr>
      </w:pPr>
    </w:p>
    <w:p w:rsidR="00B4009D" w:rsidRPr="00AC533A" w:rsidRDefault="00B4009D" w:rsidP="00D9609E">
      <w:pPr>
        <w:pStyle w:val="ListParagraph"/>
        <w:numPr>
          <w:ilvl w:val="0"/>
          <w:numId w:val="1"/>
        </w:numPr>
        <w:spacing w:after="0" w:line="240" w:lineRule="auto"/>
        <w:ind w:left="364"/>
        <w:jc w:val="both"/>
        <w:rPr>
          <w:rFonts w:ascii="Arial" w:hAnsi="Arial" w:cs="Arial"/>
          <w:b/>
          <w:bCs/>
          <w:sz w:val="20"/>
          <w:szCs w:val="20"/>
          <w:lang w:val="es-PE"/>
        </w:rPr>
      </w:pPr>
      <w:r w:rsidRPr="00AC533A">
        <w:rPr>
          <w:rFonts w:ascii="Arial" w:hAnsi="Arial" w:cs="Arial"/>
          <w:b/>
          <w:bCs/>
          <w:sz w:val="20"/>
          <w:szCs w:val="20"/>
          <w:lang w:val="es-PE"/>
        </w:rPr>
        <w:t>ASPECTOS CONCEPTUALES</w:t>
      </w:r>
    </w:p>
    <w:p w:rsidR="00B4009D" w:rsidRPr="00AC533A" w:rsidRDefault="00B4009D" w:rsidP="004C1928">
      <w:pPr>
        <w:spacing w:after="0" w:line="240" w:lineRule="auto"/>
        <w:jc w:val="both"/>
        <w:rPr>
          <w:rFonts w:ascii="Arial" w:hAnsi="Arial" w:cs="Arial"/>
          <w:b/>
          <w:bCs/>
          <w:sz w:val="20"/>
          <w:szCs w:val="20"/>
          <w:u w:val="single"/>
          <w:lang w:val="es-PE"/>
        </w:rPr>
      </w:pPr>
    </w:p>
    <w:p w:rsidR="00B4009D" w:rsidRPr="00AC533A" w:rsidRDefault="00B4009D" w:rsidP="00C94833">
      <w:pPr>
        <w:pStyle w:val="ListParagraph"/>
        <w:numPr>
          <w:ilvl w:val="0"/>
          <w:numId w:val="3"/>
        </w:numPr>
        <w:spacing w:after="0" w:line="240" w:lineRule="auto"/>
        <w:ind w:left="364"/>
        <w:jc w:val="both"/>
        <w:rPr>
          <w:rFonts w:ascii="Arial" w:hAnsi="Arial" w:cs="Arial"/>
          <w:b/>
          <w:bCs/>
          <w:sz w:val="20"/>
          <w:szCs w:val="20"/>
          <w:u w:val="single"/>
          <w:lang w:val="es-PE"/>
        </w:rPr>
      </w:pPr>
      <w:r w:rsidRPr="00AC533A">
        <w:rPr>
          <w:rFonts w:ascii="Arial" w:hAnsi="Arial" w:cs="Arial"/>
          <w:b/>
          <w:bCs/>
          <w:sz w:val="20"/>
          <w:szCs w:val="20"/>
          <w:u w:val="single"/>
          <w:lang w:val="es-PE"/>
        </w:rPr>
        <w:t>Definición de Acuicultura</w:t>
      </w:r>
    </w:p>
    <w:p w:rsidR="00B4009D" w:rsidRPr="00AC533A" w:rsidRDefault="00B4009D" w:rsidP="004C1928">
      <w:pPr>
        <w:spacing w:after="0" w:line="240" w:lineRule="auto"/>
        <w:jc w:val="both"/>
        <w:rPr>
          <w:rFonts w:ascii="Arial" w:hAnsi="Arial" w:cs="Arial"/>
          <w:b/>
          <w:bCs/>
          <w:sz w:val="20"/>
          <w:szCs w:val="20"/>
          <w:u w:val="single"/>
          <w:lang w:val="es-PE"/>
        </w:rPr>
      </w:pPr>
    </w:p>
    <w:p w:rsidR="00B4009D" w:rsidRPr="00AC533A" w:rsidRDefault="00B4009D" w:rsidP="004C1928">
      <w:pPr>
        <w:spacing w:after="0" w:line="240" w:lineRule="auto"/>
        <w:jc w:val="both"/>
        <w:rPr>
          <w:rFonts w:ascii="Arial" w:hAnsi="Arial" w:cs="Arial"/>
          <w:sz w:val="20"/>
          <w:szCs w:val="20"/>
          <w:lang w:val="es-PE"/>
        </w:rPr>
      </w:pPr>
      <w:r w:rsidRPr="00AC533A">
        <w:rPr>
          <w:rFonts w:ascii="Arial" w:hAnsi="Arial" w:cs="Arial"/>
          <w:sz w:val="20"/>
          <w:szCs w:val="20"/>
          <w:lang w:val="es-PE"/>
        </w:rPr>
        <w:t>Cultivo de organismos acuáticos incluyendo peces, moluscos, crustáceos y plantas, en áreas continentales o costeras, que implica por un lado la intervención en el proceso de crianza (producción de semilla, alimentación, manejo, engorde y cosecha) para mejorar la producción y por el otro la propiedad individual o empresarial del stock cultivado. (FAO)</w:t>
      </w:r>
    </w:p>
    <w:p w:rsidR="00B4009D" w:rsidRPr="00AC533A" w:rsidRDefault="00B4009D" w:rsidP="004C1928">
      <w:pPr>
        <w:spacing w:after="0" w:line="240" w:lineRule="auto"/>
        <w:jc w:val="both"/>
        <w:rPr>
          <w:rFonts w:ascii="Arial" w:hAnsi="Arial" w:cs="Arial"/>
          <w:sz w:val="20"/>
          <w:szCs w:val="20"/>
          <w:lang w:val="es-PE"/>
        </w:rPr>
      </w:pPr>
    </w:p>
    <w:p w:rsidR="00B4009D" w:rsidRPr="00AC533A" w:rsidRDefault="00B4009D" w:rsidP="00C94833">
      <w:pPr>
        <w:pStyle w:val="ListParagraph"/>
        <w:numPr>
          <w:ilvl w:val="0"/>
          <w:numId w:val="3"/>
        </w:numPr>
        <w:spacing w:after="0" w:line="240" w:lineRule="auto"/>
        <w:ind w:left="364"/>
        <w:jc w:val="both"/>
        <w:rPr>
          <w:rFonts w:ascii="Arial" w:hAnsi="Arial" w:cs="Arial"/>
          <w:b/>
          <w:bCs/>
          <w:sz w:val="20"/>
          <w:szCs w:val="20"/>
          <w:u w:val="single"/>
          <w:lang w:val="es-PE"/>
        </w:rPr>
      </w:pPr>
      <w:r w:rsidRPr="00AC533A">
        <w:rPr>
          <w:rFonts w:ascii="Arial" w:hAnsi="Arial" w:cs="Arial"/>
          <w:b/>
          <w:bCs/>
          <w:sz w:val="20"/>
          <w:szCs w:val="20"/>
          <w:u w:val="single"/>
          <w:lang w:val="es-PE"/>
        </w:rPr>
        <w:t>Definición de Pesca</w:t>
      </w:r>
    </w:p>
    <w:p w:rsidR="00B4009D" w:rsidRPr="00AC533A" w:rsidRDefault="00B4009D" w:rsidP="004C1928">
      <w:pPr>
        <w:spacing w:after="0" w:line="240" w:lineRule="auto"/>
        <w:jc w:val="both"/>
        <w:rPr>
          <w:rFonts w:ascii="Arial" w:hAnsi="Arial" w:cs="Arial"/>
          <w:sz w:val="20"/>
          <w:szCs w:val="20"/>
          <w:lang w:val="es-PE"/>
        </w:rPr>
      </w:pPr>
    </w:p>
    <w:p w:rsidR="00B4009D" w:rsidRPr="00AC533A" w:rsidRDefault="00B4009D" w:rsidP="004C1928">
      <w:pPr>
        <w:spacing w:after="0" w:line="240" w:lineRule="auto"/>
        <w:jc w:val="both"/>
        <w:rPr>
          <w:rFonts w:ascii="Arial" w:hAnsi="Arial" w:cs="Arial"/>
          <w:sz w:val="20"/>
          <w:szCs w:val="20"/>
          <w:lang w:val="es-PE"/>
        </w:rPr>
      </w:pPr>
      <w:r w:rsidRPr="00AC533A">
        <w:rPr>
          <w:rFonts w:ascii="Arial" w:hAnsi="Arial" w:cs="Arial"/>
          <w:sz w:val="20"/>
          <w:szCs w:val="20"/>
          <w:lang w:val="es-PE"/>
        </w:rPr>
        <w:t xml:space="preserve">La pesca es la captura y extracción de su medio natural de los peces u otras especies acuáticas como crustáceos, moluscos y otros invertebrados, además de mamíferos en el caso de culturas orientales. Puede ser de dos modalidades como son </w:t>
      </w:r>
      <w:r w:rsidRPr="00AC533A">
        <w:rPr>
          <w:rFonts w:ascii="Arial" w:hAnsi="Arial" w:cs="Arial"/>
          <w:i/>
          <w:iCs/>
          <w:sz w:val="20"/>
          <w:szCs w:val="20"/>
          <w:lang w:val="es-PE"/>
        </w:rPr>
        <w:t>i)</w:t>
      </w:r>
      <w:r w:rsidRPr="00AC533A">
        <w:rPr>
          <w:rFonts w:ascii="Arial" w:hAnsi="Arial" w:cs="Arial"/>
          <w:sz w:val="20"/>
          <w:szCs w:val="20"/>
          <w:lang w:val="es-PE"/>
        </w:rPr>
        <w:t xml:space="preserve"> pesca deportiva y </w:t>
      </w:r>
      <w:r w:rsidRPr="00AC533A">
        <w:rPr>
          <w:rFonts w:ascii="Arial" w:hAnsi="Arial" w:cs="Arial"/>
          <w:i/>
          <w:iCs/>
          <w:sz w:val="20"/>
          <w:szCs w:val="20"/>
          <w:lang w:val="es-PE"/>
        </w:rPr>
        <w:t>ii)</w:t>
      </w:r>
      <w:r w:rsidRPr="00AC533A">
        <w:rPr>
          <w:rFonts w:ascii="Arial" w:hAnsi="Arial" w:cs="Arial"/>
          <w:sz w:val="20"/>
          <w:szCs w:val="20"/>
          <w:lang w:val="es-PE"/>
        </w:rPr>
        <w:t xml:space="preserve"> pesca comercial que incluye la pesca artesanal y la pesca industrial. (FAO).</w:t>
      </w:r>
    </w:p>
    <w:p w:rsidR="00B4009D" w:rsidRPr="00AC533A" w:rsidRDefault="00B4009D" w:rsidP="004C1928">
      <w:pPr>
        <w:spacing w:after="0" w:line="240" w:lineRule="auto"/>
        <w:jc w:val="both"/>
        <w:rPr>
          <w:rFonts w:ascii="Arial" w:hAnsi="Arial" w:cs="Arial"/>
          <w:sz w:val="20"/>
          <w:szCs w:val="20"/>
          <w:lang w:val="es-PE"/>
        </w:rPr>
      </w:pPr>
    </w:p>
    <w:p w:rsidR="00B4009D" w:rsidRPr="00AC533A" w:rsidRDefault="00B4009D" w:rsidP="00EB410E">
      <w:pPr>
        <w:spacing w:after="0" w:line="240" w:lineRule="auto"/>
        <w:jc w:val="both"/>
        <w:rPr>
          <w:rFonts w:ascii="Arial" w:hAnsi="Arial" w:cs="Arial"/>
          <w:sz w:val="20"/>
          <w:szCs w:val="20"/>
          <w:lang w:val="es-PE"/>
        </w:rPr>
      </w:pPr>
      <w:r w:rsidRPr="00AC533A">
        <w:rPr>
          <w:rFonts w:ascii="Arial" w:hAnsi="Arial" w:cs="Arial"/>
          <w:sz w:val="20"/>
          <w:szCs w:val="20"/>
          <w:lang w:val="es-PE"/>
        </w:rPr>
        <w:t>Teniendo en cuenta estas definiciones, podemos sostener que estas actividades tiene técnicas y un desarrollo diferenciado toda vez que la acuicultura se orienta al cultivo de recursos hidrobiológicos pudiendo generar su semilla sin afectar el medio ambiente, a diferencia de la pesca extractiva que esta basada en la captura directamente del medio acuático. De otro lado, la acuicultura implica la propiedad individual o colectiva del stock cultivado favoreciendo su protección, a diferencia de la actividad extractiva la cual si no es debidamente regulada influye negativamente sobre las poblaciones naturales.</w:t>
      </w:r>
    </w:p>
    <w:p w:rsidR="00B4009D" w:rsidRPr="00AC533A" w:rsidRDefault="00B4009D" w:rsidP="00D9609E">
      <w:pPr>
        <w:spacing w:after="0" w:line="240" w:lineRule="auto"/>
        <w:jc w:val="both"/>
        <w:rPr>
          <w:rFonts w:ascii="Arial" w:hAnsi="Arial" w:cs="Arial"/>
          <w:sz w:val="20"/>
          <w:szCs w:val="20"/>
          <w:lang w:val="es-PE"/>
        </w:rPr>
      </w:pPr>
    </w:p>
    <w:p w:rsidR="00B4009D" w:rsidRPr="00AC533A" w:rsidRDefault="00B4009D" w:rsidP="00F60AD7">
      <w:pPr>
        <w:pStyle w:val="ListParagraph"/>
        <w:numPr>
          <w:ilvl w:val="0"/>
          <w:numId w:val="1"/>
        </w:numPr>
        <w:spacing w:after="0" w:line="240" w:lineRule="auto"/>
        <w:ind w:left="364"/>
        <w:jc w:val="both"/>
        <w:rPr>
          <w:rFonts w:ascii="Arial" w:hAnsi="Arial" w:cs="Arial"/>
          <w:b/>
          <w:bCs/>
          <w:sz w:val="20"/>
          <w:szCs w:val="20"/>
          <w:lang w:val="es-PE"/>
        </w:rPr>
      </w:pPr>
      <w:r w:rsidRPr="00AC533A">
        <w:rPr>
          <w:rFonts w:ascii="Arial" w:hAnsi="Arial" w:cs="Arial"/>
          <w:b/>
          <w:bCs/>
          <w:sz w:val="20"/>
          <w:szCs w:val="20"/>
          <w:lang w:val="es-PE"/>
        </w:rPr>
        <w:t>SITUACIÓN Y TENDENCIAS DE LA ACUICULTURA EN EL MUNDO</w:t>
      </w:r>
    </w:p>
    <w:p w:rsidR="00B4009D" w:rsidRPr="00AC533A" w:rsidRDefault="00B4009D" w:rsidP="004C1928">
      <w:pPr>
        <w:spacing w:after="0" w:line="240" w:lineRule="auto"/>
        <w:jc w:val="both"/>
        <w:rPr>
          <w:rFonts w:ascii="Arial" w:hAnsi="Arial" w:cs="Arial"/>
          <w:sz w:val="20"/>
          <w:szCs w:val="20"/>
          <w:lang w:val="es-PE"/>
        </w:rPr>
      </w:pPr>
    </w:p>
    <w:p w:rsidR="00B4009D" w:rsidRPr="00AC533A" w:rsidRDefault="00B4009D" w:rsidP="004C1928">
      <w:pPr>
        <w:spacing w:after="0" w:line="240" w:lineRule="auto"/>
        <w:jc w:val="both"/>
        <w:rPr>
          <w:rFonts w:ascii="Arial" w:hAnsi="Arial" w:cs="Arial"/>
          <w:sz w:val="20"/>
          <w:szCs w:val="20"/>
          <w:lang w:val="es-PE"/>
        </w:rPr>
      </w:pPr>
      <w:r w:rsidRPr="00AC533A">
        <w:rPr>
          <w:rFonts w:ascii="Arial" w:hAnsi="Arial" w:cs="Arial"/>
          <w:sz w:val="20"/>
          <w:szCs w:val="20"/>
          <w:lang w:val="es-PE"/>
        </w:rPr>
        <w:t>La acuicultura mundial viene emergiendo como una de las principales fuentes de empleo, alimento e ingresos, esta actividad está creciendo a nivel mundial a una tasa de 8%</w:t>
      </w:r>
    </w:p>
    <w:p w:rsidR="00B4009D" w:rsidRPr="00AC533A" w:rsidRDefault="00B4009D" w:rsidP="004C1928">
      <w:pPr>
        <w:spacing w:after="0" w:line="240" w:lineRule="auto"/>
        <w:jc w:val="both"/>
        <w:rPr>
          <w:rFonts w:ascii="Arial" w:hAnsi="Arial" w:cs="Arial"/>
          <w:sz w:val="20"/>
          <w:szCs w:val="20"/>
          <w:lang w:val="es-PE"/>
        </w:rPr>
      </w:pPr>
    </w:p>
    <w:p w:rsidR="00B4009D" w:rsidRPr="00AC533A" w:rsidRDefault="00B4009D" w:rsidP="000A1ECC">
      <w:pPr>
        <w:spacing w:after="0" w:line="240" w:lineRule="auto"/>
        <w:jc w:val="both"/>
        <w:rPr>
          <w:rFonts w:ascii="Arial" w:hAnsi="Arial" w:cs="Arial"/>
          <w:sz w:val="20"/>
          <w:szCs w:val="20"/>
        </w:rPr>
      </w:pPr>
      <w:r w:rsidRPr="00AC533A">
        <w:rPr>
          <w:rFonts w:ascii="Arial" w:hAnsi="Arial" w:cs="Arial"/>
          <w:sz w:val="20"/>
          <w:szCs w:val="20"/>
        </w:rPr>
        <w:t xml:space="preserve">En el año 2009, la pesca de captura y la acuicultura en su conjunto, han suministrado al mundo unos 145.5 millones de TM de pescado e incluyendo las plantas acuáticas (algas) esta cifra se incrementa a 162.8 millones de TM de recursos hidrobiológicos ofrecidos para la alimentación a través del consumo humano directo e indirecto y de los cuales unos </w:t>
      </w:r>
      <w:r w:rsidRPr="00AC533A">
        <w:rPr>
          <w:rFonts w:ascii="Arial" w:hAnsi="Arial" w:cs="Arial"/>
          <w:sz w:val="20"/>
          <w:szCs w:val="20"/>
          <w:lang w:val="es-PE"/>
        </w:rPr>
        <w:t>73 millones de TM provinieron de acuicultura (44.8% del total)</w:t>
      </w:r>
      <w:r w:rsidRPr="00AC533A">
        <w:rPr>
          <w:rFonts w:ascii="Arial" w:hAnsi="Arial" w:cs="Arial"/>
          <w:sz w:val="20"/>
          <w:szCs w:val="20"/>
        </w:rPr>
        <w:t>.</w:t>
      </w:r>
    </w:p>
    <w:p w:rsidR="00B4009D" w:rsidRPr="00AC533A" w:rsidRDefault="00B4009D" w:rsidP="000A1ECC">
      <w:pPr>
        <w:spacing w:after="0" w:line="240" w:lineRule="auto"/>
        <w:jc w:val="both"/>
        <w:rPr>
          <w:rFonts w:ascii="Arial" w:hAnsi="Arial" w:cs="Arial"/>
          <w:sz w:val="20"/>
          <w:szCs w:val="20"/>
        </w:rPr>
      </w:pPr>
    </w:p>
    <w:p w:rsidR="00B4009D" w:rsidRPr="00AC533A" w:rsidRDefault="00B4009D" w:rsidP="000A1ECC">
      <w:pPr>
        <w:spacing w:after="0" w:line="240" w:lineRule="auto"/>
        <w:jc w:val="both"/>
        <w:rPr>
          <w:rFonts w:ascii="Arial" w:hAnsi="Arial" w:cs="Arial"/>
          <w:sz w:val="20"/>
          <w:szCs w:val="20"/>
        </w:rPr>
      </w:pPr>
      <w:r w:rsidRPr="00AC533A">
        <w:rPr>
          <w:rFonts w:ascii="Arial" w:hAnsi="Arial" w:cs="Arial"/>
          <w:sz w:val="20"/>
          <w:szCs w:val="20"/>
        </w:rPr>
        <w:t>De acuerdo a la FAO, la acuicultura mundial en los últimos 30 años, ha tenido un crecimiento importante a una tasa anual de 8.3%, siendo uno de los sectores de alimentación humana con el mejor desempeño en crecimiento comparado con otros sectores productores de proteína animal como lo es el avícola con un crecimiento de 5.1%, la porcina con una tasa de 3.2% y la bovina con un 1%</w:t>
      </w:r>
      <w:r w:rsidRPr="00AC533A">
        <w:rPr>
          <w:rFonts w:ascii="Arial" w:hAnsi="Arial" w:cs="Arial"/>
          <w:sz w:val="20"/>
          <w:szCs w:val="20"/>
          <w:vertAlign w:val="superscript"/>
        </w:rPr>
        <w:footnoteReference w:id="2"/>
      </w:r>
      <w:r w:rsidRPr="00AC533A">
        <w:rPr>
          <w:rFonts w:ascii="Arial" w:hAnsi="Arial" w:cs="Arial"/>
          <w:sz w:val="20"/>
          <w:szCs w:val="20"/>
        </w:rPr>
        <w:t>.</w:t>
      </w:r>
    </w:p>
    <w:p w:rsidR="00B4009D" w:rsidRPr="00AC533A" w:rsidRDefault="00B4009D" w:rsidP="000A1ECC">
      <w:pPr>
        <w:spacing w:after="0" w:line="240" w:lineRule="auto"/>
        <w:jc w:val="both"/>
        <w:rPr>
          <w:rFonts w:ascii="Arial" w:hAnsi="Arial" w:cs="Arial"/>
          <w:sz w:val="20"/>
          <w:szCs w:val="20"/>
        </w:rPr>
      </w:pPr>
    </w:p>
    <w:p w:rsidR="00B4009D" w:rsidRPr="00AC533A" w:rsidRDefault="00B4009D" w:rsidP="00BD3A7E">
      <w:pPr>
        <w:spacing w:after="0" w:line="240" w:lineRule="auto"/>
        <w:jc w:val="both"/>
        <w:rPr>
          <w:rFonts w:ascii="Arial" w:hAnsi="Arial" w:cs="Arial"/>
          <w:sz w:val="20"/>
          <w:szCs w:val="20"/>
        </w:rPr>
      </w:pPr>
      <w:r w:rsidRPr="00AC533A">
        <w:rPr>
          <w:rFonts w:ascii="Arial" w:hAnsi="Arial" w:cs="Arial"/>
          <w:sz w:val="20"/>
          <w:szCs w:val="20"/>
        </w:rPr>
        <w:t>La pesca de captura se ha estabilizado en 90 millones de TM y no tendría la capacidad de incrementarse; de otro lado se puede apreciar como la acuicultura ha venido incrementándose año tras año; teniendo como base el año 2000 se puede apreciar que la acuicultura en dicho año registraba 41 millones de TM y para el año 2009 ha alcanzado las 73 millones de TM, ello refleja un incremento considerable de 75% de la producción acuícola a nivel mundial. (</w:t>
      </w:r>
      <w:r w:rsidRPr="00AC533A">
        <w:rPr>
          <w:rFonts w:ascii="Arial" w:hAnsi="Arial" w:cs="Arial"/>
          <w:i/>
          <w:iCs/>
          <w:sz w:val="20"/>
          <w:szCs w:val="20"/>
        </w:rPr>
        <w:t>Ver figura N° 1</w:t>
      </w:r>
      <w:r w:rsidRPr="00AC533A">
        <w:rPr>
          <w:rFonts w:ascii="Arial" w:hAnsi="Arial" w:cs="Arial"/>
          <w:sz w:val="20"/>
          <w:szCs w:val="20"/>
        </w:rPr>
        <w:t>).</w:t>
      </w:r>
    </w:p>
    <w:p w:rsidR="00B4009D" w:rsidRPr="00AC533A" w:rsidRDefault="00B4009D" w:rsidP="000A1ECC">
      <w:pPr>
        <w:spacing w:after="0" w:line="240" w:lineRule="auto"/>
        <w:jc w:val="both"/>
        <w:rPr>
          <w:rFonts w:ascii="Arial" w:hAnsi="Arial" w:cs="Arial"/>
          <w:sz w:val="20"/>
          <w:szCs w:val="20"/>
        </w:rPr>
      </w:pPr>
    </w:p>
    <w:p w:rsidR="00B4009D" w:rsidRPr="00AC533A" w:rsidRDefault="00B4009D" w:rsidP="00C178CA">
      <w:pPr>
        <w:spacing w:after="0" w:line="240" w:lineRule="auto"/>
        <w:jc w:val="both"/>
        <w:rPr>
          <w:rFonts w:ascii="Arial" w:hAnsi="Arial" w:cs="Arial"/>
          <w:sz w:val="20"/>
          <w:szCs w:val="20"/>
        </w:rPr>
      </w:pPr>
      <w:r w:rsidRPr="00AC533A">
        <w:rPr>
          <w:rFonts w:ascii="Arial" w:hAnsi="Arial" w:cs="Arial"/>
          <w:sz w:val="20"/>
          <w:szCs w:val="20"/>
        </w:rPr>
        <w:t>Se ha determinado que el crecimiento de la acuicultura para el periodo 2000 – 2009 ha tenido una tasa de crecimiento geométrico de 5.77% por lo que para el año 2011 la producción podría haber llegado a 80 millones de TM y para el año 2015 ésta podría alcanzar las 102 millones de TM superando el nivel estabilizado de la pesca de captura. Esto demuestra que la acuicultura se convertiría en la principal fuente de alimento proteico en el mundo superando la participación de la pesca extractiva (V</w:t>
      </w:r>
      <w:r w:rsidRPr="00AC533A">
        <w:rPr>
          <w:rFonts w:ascii="Arial" w:hAnsi="Arial" w:cs="Arial"/>
          <w:i/>
          <w:iCs/>
          <w:sz w:val="20"/>
          <w:szCs w:val="20"/>
        </w:rPr>
        <w:t>er figura N° 2</w:t>
      </w:r>
      <w:r w:rsidRPr="00AC533A">
        <w:rPr>
          <w:rFonts w:ascii="Arial" w:hAnsi="Arial" w:cs="Arial"/>
          <w:sz w:val="20"/>
          <w:szCs w:val="20"/>
        </w:rPr>
        <w:t>).</w:t>
      </w:r>
    </w:p>
    <w:p w:rsidR="00B4009D" w:rsidRPr="00AC533A" w:rsidRDefault="00B4009D" w:rsidP="000A1ECC">
      <w:pPr>
        <w:spacing w:after="0" w:line="240" w:lineRule="auto"/>
        <w:jc w:val="both"/>
        <w:rPr>
          <w:rFonts w:ascii="Arial" w:hAnsi="Arial" w:cs="Arial"/>
          <w:sz w:val="20"/>
          <w:szCs w:val="20"/>
        </w:rPr>
      </w:pPr>
    </w:p>
    <w:p w:rsidR="00B4009D" w:rsidRPr="00AC533A" w:rsidRDefault="00B4009D" w:rsidP="00FA54C2">
      <w:pPr>
        <w:jc w:val="center"/>
        <w:rPr>
          <w:rFonts w:ascii="Arial" w:hAnsi="Arial" w:cs="Arial"/>
          <w:b/>
          <w:bCs/>
          <w:sz w:val="18"/>
          <w:szCs w:val="18"/>
          <w:lang w:val="es-ES_tradnl"/>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6" type="#_x0000_t75" style="position:absolute;left:0;text-align:left;margin-left:45pt;margin-top:14.35pt;width:323.95pt;height:203.15pt;z-index:-251658240;visibility:visible">
            <v:imagedata r:id="rId7" o:title="" croptop="2214f" cropbottom="1476f" cropright="1176f"/>
          </v:shape>
        </w:pict>
      </w:r>
      <w:r w:rsidRPr="00AC533A">
        <w:rPr>
          <w:rFonts w:ascii="Arial" w:hAnsi="Arial" w:cs="Arial"/>
          <w:b/>
          <w:bCs/>
          <w:sz w:val="18"/>
          <w:szCs w:val="18"/>
          <w:lang w:val="es-CL"/>
        </w:rPr>
        <w:t xml:space="preserve">Figura Nº </w:t>
      </w:r>
      <w:r w:rsidRPr="00AC533A">
        <w:rPr>
          <w:rFonts w:ascii="Arial" w:hAnsi="Arial" w:cs="Arial"/>
          <w:b/>
          <w:bCs/>
          <w:sz w:val="18"/>
          <w:szCs w:val="18"/>
          <w:lang w:val="es-CL"/>
        </w:rPr>
        <w:fldChar w:fldCharType="begin"/>
      </w:r>
      <w:r w:rsidRPr="00AC533A">
        <w:rPr>
          <w:rFonts w:ascii="Arial" w:hAnsi="Arial" w:cs="Arial"/>
          <w:b/>
          <w:bCs/>
          <w:sz w:val="18"/>
          <w:szCs w:val="18"/>
          <w:lang w:val="es-CL"/>
        </w:rPr>
        <w:instrText xml:space="preserve"> SEQ Ilustración \* ARABIC </w:instrText>
      </w:r>
      <w:r w:rsidRPr="00AC533A">
        <w:rPr>
          <w:rFonts w:ascii="Arial" w:hAnsi="Arial" w:cs="Arial"/>
          <w:b/>
          <w:bCs/>
          <w:sz w:val="18"/>
          <w:szCs w:val="18"/>
          <w:lang w:val="es-CL"/>
        </w:rPr>
        <w:fldChar w:fldCharType="separate"/>
      </w:r>
      <w:r w:rsidRPr="00AC533A">
        <w:rPr>
          <w:rFonts w:ascii="Arial" w:hAnsi="Arial" w:cs="Arial"/>
          <w:b/>
          <w:bCs/>
          <w:noProof/>
          <w:sz w:val="18"/>
          <w:szCs w:val="18"/>
          <w:lang w:val="es-CL"/>
        </w:rPr>
        <w:t>1</w:t>
      </w:r>
      <w:r w:rsidRPr="00AC533A">
        <w:rPr>
          <w:rFonts w:ascii="Arial" w:hAnsi="Arial" w:cs="Arial"/>
          <w:b/>
          <w:bCs/>
          <w:sz w:val="18"/>
          <w:szCs w:val="18"/>
          <w:lang w:val="es-CL"/>
        </w:rPr>
        <w:fldChar w:fldCharType="end"/>
      </w:r>
      <w:r w:rsidRPr="00AC533A">
        <w:rPr>
          <w:rFonts w:ascii="Arial" w:hAnsi="Arial" w:cs="Arial"/>
          <w:b/>
          <w:bCs/>
          <w:sz w:val="18"/>
          <w:szCs w:val="18"/>
          <w:lang w:val="es-CL"/>
        </w:rPr>
        <w:t xml:space="preserve">. </w:t>
      </w:r>
      <w:r w:rsidRPr="00AC533A">
        <w:rPr>
          <w:rFonts w:ascii="Arial" w:hAnsi="Arial" w:cs="Arial"/>
          <w:b/>
          <w:bCs/>
          <w:sz w:val="18"/>
          <w:szCs w:val="18"/>
          <w:lang w:val="es-ES_tradnl"/>
        </w:rPr>
        <w:t>Evolución de la producción pesquera mundial en millones de TM (2000 – 2009)</w:t>
      </w:r>
    </w:p>
    <w:p w:rsidR="00B4009D" w:rsidRPr="00241228" w:rsidRDefault="00B4009D" w:rsidP="00FA54C2">
      <w:pPr>
        <w:ind w:left="567"/>
        <w:jc w:val="center"/>
        <w:rPr>
          <w:b/>
          <w:bCs/>
          <w:sz w:val="20"/>
          <w:szCs w:val="20"/>
          <w:lang w:val="es-ES_tradnl"/>
        </w:rPr>
      </w:pPr>
    </w:p>
    <w:p w:rsidR="00B4009D" w:rsidRPr="00241228" w:rsidRDefault="00B4009D" w:rsidP="00FA54C2">
      <w:pPr>
        <w:ind w:left="567"/>
        <w:jc w:val="center"/>
        <w:rPr>
          <w:b/>
          <w:bCs/>
          <w:sz w:val="20"/>
          <w:szCs w:val="20"/>
          <w:lang w:val="es-ES_tradnl"/>
        </w:rPr>
      </w:pPr>
    </w:p>
    <w:p w:rsidR="00B4009D" w:rsidRPr="00241228" w:rsidRDefault="00B4009D" w:rsidP="00FA54C2">
      <w:pPr>
        <w:ind w:left="567"/>
        <w:jc w:val="center"/>
        <w:rPr>
          <w:b/>
          <w:bCs/>
          <w:sz w:val="20"/>
          <w:szCs w:val="20"/>
          <w:lang w:val="es-ES_tradnl"/>
        </w:rPr>
      </w:pPr>
    </w:p>
    <w:p w:rsidR="00B4009D" w:rsidRPr="00241228" w:rsidRDefault="00B4009D" w:rsidP="00FA54C2">
      <w:pPr>
        <w:ind w:left="567"/>
        <w:jc w:val="center"/>
        <w:rPr>
          <w:b/>
          <w:bCs/>
          <w:sz w:val="20"/>
          <w:szCs w:val="20"/>
          <w:lang w:val="es-ES_tradnl"/>
        </w:rPr>
      </w:pPr>
    </w:p>
    <w:p w:rsidR="00B4009D" w:rsidRPr="00241228" w:rsidRDefault="00B4009D" w:rsidP="00FA54C2">
      <w:pPr>
        <w:ind w:left="567"/>
        <w:jc w:val="center"/>
        <w:rPr>
          <w:b/>
          <w:bCs/>
          <w:sz w:val="20"/>
          <w:szCs w:val="20"/>
          <w:lang w:val="es-ES_tradnl"/>
        </w:rPr>
      </w:pPr>
    </w:p>
    <w:p w:rsidR="00B4009D" w:rsidRPr="00241228" w:rsidRDefault="00B4009D" w:rsidP="00FA54C2">
      <w:pPr>
        <w:ind w:left="567"/>
        <w:jc w:val="center"/>
        <w:rPr>
          <w:b/>
          <w:bCs/>
          <w:sz w:val="20"/>
          <w:szCs w:val="20"/>
          <w:lang w:val="es-ES_tradnl"/>
        </w:rPr>
      </w:pPr>
    </w:p>
    <w:p w:rsidR="00B4009D" w:rsidRPr="00241228" w:rsidRDefault="00B4009D" w:rsidP="00FA54C2">
      <w:pPr>
        <w:ind w:left="567"/>
        <w:jc w:val="center"/>
        <w:rPr>
          <w:b/>
          <w:bCs/>
          <w:sz w:val="20"/>
          <w:szCs w:val="20"/>
          <w:lang w:val="es-ES_tradnl"/>
        </w:rPr>
      </w:pPr>
    </w:p>
    <w:p w:rsidR="00B4009D" w:rsidRPr="00241228" w:rsidRDefault="00B4009D" w:rsidP="00FA54C2">
      <w:pPr>
        <w:ind w:left="567"/>
        <w:jc w:val="center"/>
        <w:rPr>
          <w:b/>
          <w:bCs/>
          <w:sz w:val="20"/>
          <w:szCs w:val="20"/>
          <w:lang w:val="es-ES_tradnl"/>
        </w:rPr>
      </w:pPr>
    </w:p>
    <w:p w:rsidR="00B4009D" w:rsidRPr="00AC533A" w:rsidRDefault="00B4009D" w:rsidP="00FA54C2">
      <w:pPr>
        <w:spacing w:after="0"/>
        <w:ind w:left="352"/>
        <w:rPr>
          <w:sz w:val="16"/>
          <w:szCs w:val="16"/>
        </w:rPr>
      </w:pPr>
      <w:bookmarkStart w:id="0" w:name="OLE_LINK17"/>
      <w:bookmarkStart w:id="1" w:name="OLE_LINK18"/>
      <w:r w:rsidRPr="00AC533A">
        <w:rPr>
          <w:sz w:val="16"/>
          <w:szCs w:val="16"/>
        </w:rPr>
        <w:t>Fuente: FAO</w:t>
      </w:r>
    </w:p>
    <w:p w:rsidR="00B4009D" w:rsidRDefault="00B4009D" w:rsidP="009C0783">
      <w:pPr>
        <w:jc w:val="center"/>
        <w:rPr>
          <w:b/>
          <w:bCs/>
          <w:sz w:val="20"/>
          <w:szCs w:val="20"/>
          <w:lang w:val="es-ES_tradnl"/>
        </w:rPr>
      </w:pPr>
      <w:bookmarkStart w:id="2" w:name="_Toc303606455"/>
      <w:bookmarkStart w:id="3" w:name="OLE_LINK29"/>
      <w:bookmarkStart w:id="4" w:name="OLE_LINK30"/>
      <w:bookmarkEnd w:id="0"/>
      <w:bookmarkEnd w:id="1"/>
      <w:r w:rsidRPr="00241228">
        <w:rPr>
          <w:b/>
          <w:bCs/>
          <w:sz w:val="20"/>
          <w:szCs w:val="20"/>
          <w:lang w:val="es-CL"/>
        </w:rPr>
        <w:t xml:space="preserve">Figura Nº </w:t>
      </w:r>
      <w:r>
        <w:rPr>
          <w:b/>
          <w:bCs/>
          <w:sz w:val="20"/>
          <w:szCs w:val="20"/>
          <w:lang w:val="es-CL"/>
        </w:rPr>
        <w:t>2</w:t>
      </w:r>
      <w:r w:rsidRPr="00241228">
        <w:rPr>
          <w:b/>
          <w:bCs/>
          <w:sz w:val="20"/>
          <w:szCs w:val="20"/>
          <w:lang w:val="es-CL"/>
        </w:rPr>
        <w:t xml:space="preserve">. </w:t>
      </w:r>
      <w:r w:rsidRPr="00241228">
        <w:rPr>
          <w:b/>
          <w:bCs/>
          <w:sz w:val="20"/>
          <w:szCs w:val="20"/>
          <w:lang w:val="es-ES_tradnl"/>
        </w:rPr>
        <w:t>Proyección del crecimiento de la acuicultura al 2015 (Tasa de Crec. 5.77%)</w:t>
      </w:r>
      <w:bookmarkEnd w:id="2"/>
      <w:bookmarkEnd w:id="3"/>
      <w:bookmarkEnd w:id="4"/>
    </w:p>
    <w:p w:rsidR="00B4009D" w:rsidRDefault="00B4009D" w:rsidP="00AC533A">
      <w:pPr>
        <w:spacing w:after="0"/>
        <w:jc w:val="center"/>
        <w:rPr>
          <w:noProof/>
          <w:sz w:val="20"/>
          <w:szCs w:val="20"/>
          <w:lang w:eastAsia="es-ES"/>
        </w:rPr>
      </w:pPr>
      <w:r w:rsidRPr="009D5EC9">
        <w:rPr>
          <w:noProof/>
          <w:sz w:val="20"/>
          <w:szCs w:val="20"/>
          <w:lang w:eastAsia="es-ES"/>
        </w:rPr>
        <w:pict>
          <v:shape id="Imagen 12" o:spid="_x0000_i1025" type="#_x0000_t75" style="width:304.5pt;height:183pt;visibility:visible">
            <v:imagedata r:id="rId8" o:title="" croptop="2610f"/>
          </v:shape>
        </w:pict>
      </w:r>
    </w:p>
    <w:p w:rsidR="00B4009D" w:rsidRDefault="00B4009D" w:rsidP="00AC533A">
      <w:pPr>
        <w:spacing w:after="0"/>
        <w:rPr>
          <w:sz w:val="16"/>
          <w:szCs w:val="16"/>
        </w:rPr>
      </w:pPr>
      <w:r w:rsidRPr="00AC533A">
        <w:rPr>
          <w:sz w:val="16"/>
          <w:szCs w:val="16"/>
        </w:rPr>
        <w:t>Fuente: FAO</w:t>
      </w:r>
    </w:p>
    <w:p w:rsidR="00B4009D" w:rsidRDefault="00B4009D" w:rsidP="004E3100">
      <w:pPr>
        <w:spacing w:after="0" w:line="240" w:lineRule="auto"/>
        <w:jc w:val="both"/>
        <w:rPr>
          <w:rFonts w:ascii="Arial" w:hAnsi="Arial" w:cs="Arial"/>
          <w:sz w:val="20"/>
          <w:szCs w:val="20"/>
        </w:rPr>
      </w:pPr>
    </w:p>
    <w:p w:rsidR="00B4009D" w:rsidRPr="00AC533A" w:rsidRDefault="00B4009D" w:rsidP="004E3100">
      <w:pPr>
        <w:spacing w:after="0" w:line="240" w:lineRule="auto"/>
        <w:jc w:val="both"/>
        <w:rPr>
          <w:rFonts w:ascii="Arial" w:hAnsi="Arial" w:cs="Arial"/>
          <w:sz w:val="20"/>
          <w:szCs w:val="20"/>
        </w:rPr>
      </w:pPr>
      <w:r w:rsidRPr="00AC533A">
        <w:rPr>
          <w:rFonts w:ascii="Arial" w:hAnsi="Arial" w:cs="Arial"/>
          <w:sz w:val="20"/>
          <w:szCs w:val="20"/>
        </w:rPr>
        <w:t>La acuicultura mundial, según la FAO ha comprobado que ésta es una importante fuente de empleo y medio de subsistencia teniendo que para el año 2008 se ha calculado una cifra de 10.793 millones de personas que se dedican a la actividad de acuicultura y que la misma refiere un medio de subsistencia para 134.18 millones de personas.</w:t>
      </w:r>
    </w:p>
    <w:p w:rsidR="00B4009D" w:rsidRPr="00AC533A" w:rsidRDefault="00B4009D" w:rsidP="000A1ECC">
      <w:pPr>
        <w:spacing w:after="0" w:line="240" w:lineRule="auto"/>
        <w:jc w:val="both"/>
        <w:rPr>
          <w:rFonts w:ascii="Arial" w:hAnsi="Arial" w:cs="Arial"/>
          <w:sz w:val="20"/>
          <w:szCs w:val="20"/>
        </w:rPr>
      </w:pPr>
    </w:p>
    <w:p w:rsidR="00B4009D" w:rsidRPr="00AC533A" w:rsidRDefault="00B4009D" w:rsidP="0069562E">
      <w:pPr>
        <w:pStyle w:val="ListParagraph"/>
        <w:numPr>
          <w:ilvl w:val="0"/>
          <w:numId w:val="1"/>
        </w:numPr>
        <w:spacing w:after="0" w:line="240" w:lineRule="auto"/>
        <w:ind w:left="364"/>
        <w:jc w:val="both"/>
        <w:rPr>
          <w:rFonts w:ascii="Arial" w:hAnsi="Arial" w:cs="Arial"/>
          <w:b/>
          <w:bCs/>
          <w:sz w:val="20"/>
          <w:szCs w:val="20"/>
          <w:lang w:val="es-PE"/>
        </w:rPr>
      </w:pPr>
      <w:r w:rsidRPr="00AC533A">
        <w:rPr>
          <w:rFonts w:ascii="Arial" w:hAnsi="Arial" w:cs="Arial"/>
          <w:b/>
          <w:bCs/>
          <w:sz w:val="20"/>
          <w:szCs w:val="20"/>
          <w:lang w:val="es-PE"/>
        </w:rPr>
        <w:t>LA ACUICULTURA EN AMÉRICA LATINA Y EL CARIBE</w:t>
      </w:r>
    </w:p>
    <w:p w:rsidR="00B4009D" w:rsidRPr="00AC533A" w:rsidRDefault="00B4009D" w:rsidP="004C1928">
      <w:pPr>
        <w:spacing w:after="0" w:line="240" w:lineRule="auto"/>
        <w:jc w:val="both"/>
        <w:rPr>
          <w:rFonts w:ascii="Arial" w:hAnsi="Arial" w:cs="Arial"/>
          <w:sz w:val="20"/>
          <w:szCs w:val="20"/>
          <w:lang w:val="es-PE"/>
        </w:rPr>
      </w:pPr>
    </w:p>
    <w:p w:rsidR="00B4009D" w:rsidRPr="00AC533A" w:rsidRDefault="00B4009D" w:rsidP="00C94833">
      <w:pPr>
        <w:pStyle w:val="ListParagraph"/>
        <w:numPr>
          <w:ilvl w:val="0"/>
          <w:numId w:val="3"/>
        </w:numPr>
        <w:spacing w:after="0" w:line="240" w:lineRule="auto"/>
        <w:ind w:left="364"/>
        <w:jc w:val="both"/>
        <w:rPr>
          <w:rFonts w:ascii="Arial" w:hAnsi="Arial" w:cs="Arial"/>
          <w:b/>
          <w:bCs/>
          <w:sz w:val="20"/>
          <w:szCs w:val="20"/>
          <w:u w:val="single"/>
          <w:lang w:val="es-PE"/>
        </w:rPr>
      </w:pPr>
      <w:r w:rsidRPr="00AC533A">
        <w:rPr>
          <w:rFonts w:ascii="Arial" w:hAnsi="Arial" w:cs="Arial"/>
          <w:b/>
          <w:bCs/>
          <w:sz w:val="20"/>
          <w:szCs w:val="20"/>
          <w:u w:val="single"/>
          <w:lang w:val="es-PE"/>
        </w:rPr>
        <w:t>Sobre el desarrollo de la acuicultura</w:t>
      </w:r>
    </w:p>
    <w:p w:rsidR="00B4009D" w:rsidRPr="00AC533A" w:rsidRDefault="00B4009D" w:rsidP="00AD55BC">
      <w:pPr>
        <w:spacing w:after="0" w:line="240" w:lineRule="auto"/>
        <w:jc w:val="both"/>
        <w:rPr>
          <w:rFonts w:ascii="Arial" w:hAnsi="Arial" w:cs="Arial"/>
          <w:sz w:val="20"/>
          <w:szCs w:val="20"/>
        </w:rPr>
      </w:pPr>
    </w:p>
    <w:p w:rsidR="00B4009D" w:rsidRPr="00AC533A" w:rsidRDefault="00B4009D" w:rsidP="00D55833">
      <w:pPr>
        <w:spacing w:after="0" w:line="240" w:lineRule="auto"/>
        <w:jc w:val="both"/>
        <w:rPr>
          <w:rFonts w:ascii="Arial" w:hAnsi="Arial" w:cs="Arial"/>
          <w:sz w:val="20"/>
          <w:szCs w:val="20"/>
        </w:rPr>
      </w:pPr>
      <w:r w:rsidRPr="00AC533A">
        <w:rPr>
          <w:rFonts w:ascii="Arial" w:hAnsi="Arial" w:cs="Arial"/>
          <w:sz w:val="20"/>
          <w:szCs w:val="20"/>
        </w:rPr>
        <w:t>De acuerdo a la información de la FAO, en la región de América Latina y El Caribe la producción acuícola en 2009 registró poco más de 1.98 millones de toneladas con un valor estimado en 8,291 millones de dólares, determinando un crecimiento anual de 8.52% en el periodo 2000 - 2009, siendo Chile, Brasil, México y Ecuador los principales productores, con el 85% de la producción. De igual modo se estima que con la recuperación de algunos mercados, la producción acuícola en el 2010 se haya podido incrementar a 2.10 millones de toneladas.</w:t>
      </w:r>
    </w:p>
    <w:p w:rsidR="00B4009D" w:rsidRPr="00AC533A" w:rsidRDefault="00B4009D" w:rsidP="00AD55BC">
      <w:pPr>
        <w:spacing w:after="0" w:line="240" w:lineRule="auto"/>
        <w:jc w:val="both"/>
        <w:rPr>
          <w:rFonts w:ascii="Arial" w:hAnsi="Arial" w:cs="Arial"/>
          <w:sz w:val="20"/>
          <w:szCs w:val="20"/>
        </w:rPr>
      </w:pPr>
    </w:p>
    <w:p w:rsidR="00B4009D" w:rsidRPr="00AC533A" w:rsidRDefault="00B4009D" w:rsidP="00D55833">
      <w:pPr>
        <w:spacing w:after="0" w:line="240" w:lineRule="auto"/>
        <w:jc w:val="both"/>
        <w:rPr>
          <w:rFonts w:ascii="Arial" w:hAnsi="Arial" w:cs="Arial"/>
          <w:sz w:val="20"/>
          <w:szCs w:val="20"/>
        </w:rPr>
      </w:pPr>
      <w:r w:rsidRPr="00AC533A">
        <w:rPr>
          <w:rFonts w:ascii="Arial" w:hAnsi="Arial" w:cs="Arial"/>
          <w:sz w:val="20"/>
          <w:szCs w:val="20"/>
        </w:rPr>
        <w:t>Es importante indicar que a pesar de que en América Latina y El Caribe se han tratado de cultivar un gran número de especies hidrobiológicas con el propósito de diversificar la oferta acuícola, sólo los grupos de salmones y truchas, camarones peneidos, concha de abanico y choritos y tilapias, han alcanzado niveles de producción estables y significativos en el tiempo y con un alto valor. Estos grupos principales, en general responden a poco más del 80% de la cosecha acuícola de toda la Región con un valor estimado de 7,643 millones de dólares. Se debe señalar que dada las condiciones ambientales, el Perú tiene el potencial de desarrollo y expansión acuícola con las especies de los principales grupos que se cultivan a nivel Regional.</w:t>
      </w:r>
    </w:p>
    <w:p w:rsidR="00B4009D" w:rsidRPr="00AC533A" w:rsidRDefault="00B4009D" w:rsidP="00AD55BC">
      <w:pPr>
        <w:spacing w:after="0" w:line="240" w:lineRule="auto"/>
        <w:jc w:val="both"/>
        <w:rPr>
          <w:rFonts w:ascii="Arial" w:hAnsi="Arial" w:cs="Arial"/>
          <w:sz w:val="20"/>
          <w:szCs w:val="20"/>
        </w:rPr>
      </w:pPr>
    </w:p>
    <w:p w:rsidR="00B4009D" w:rsidRPr="00AC533A" w:rsidRDefault="00B4009D" w:rsidP="002E5C5C">
      <w:pPr>
        <w:spacing w:after="0" w:line="240" w:lineRule="auto"/>
        <w:jc w:val="both"/>
        <w:rPr>
          <w:rFonts w:ascii="Arial" w:hAnsi="Arial" w:cs="Arial"/>
          <w:sz w:val="20"/>
          <w:szCs w:val="20"/>
        </w:rPr>
      </w:pPr>
      <w:r w:rsidRPr="00AC533A">
        <w:rPr>
          <w:rFonts w:ascii="Arial" w:hAnsi="Arial" w:cs="Arial"/>
          <w:sz w:val="20"/>
          <w:szCs w:val="20"/>
        </w:rPr>
        <w:t>El Perú al 2010 ha mejorado su ubicación en el Ranking de acuicultura de América Latina situándose entre los cinco (05) primeros países en nivel de producción de acuicultura.</w:t>
      </w:r>
    </w:p>
    <w:p w:rsidR="00B4009D" w:rsidRDefault="00B4009D" w:rsidP="00AD55BC">
      <w:pPr>
        <w:spacing w:after="0" w:line="240" w:lineRule="auto"/>
        <w:jc w:val="both"/>
        <w:rPr>
          <w:sz w:val="20"/>
          <w:szCs w:val="20"/>
        </w:rPr>
      </w:pPr>
    </w:p>
    <w:p w:rsidR="00B4009D" w:rsidRDefault="00B4009D" w:rsidP="007C4B7D">
      <w:pPr>
        <w:jc w:val="center"/>
        <w:rPr>
          <w:b/>
          <w:bCs/>
          <w:sz w:val="20"/>
          <w:szCs w:val="20"/>
          <w:lang w:val="es-ES_tradnl"/>
        </w:rPr>
      </w:pPr>
      <w:bookmarkStart w:id="5" w:name="_Toc303606493"/>
      <w:bookmarkStart w:id="6" w:name="OLE_LINK259"/>
      <w:bookmarkStart w:id="7" w:name="OLE_LINK260"/>
      <w:r>
        <w:rPr>
          <w:b/>
          <w:bCs/>
          <w:sz w:val="20"/>
          <w:szCs w:val="20"/>
          <w:lang w:val="es-CL"/>
        </w:rPr>
        <w:t xml:space="preserve">Cuadro </w:t>
      </w:r>
      <w:r w:rsidRPr="002C0330">
        <w:rPr>
          <w:b/>
          <w:bCs/>
          <w:sz w:val="20"/>
          <w:szCs w:val="20"/>
          <w:lang w:val="es-CL"/>
        </w:rPr>
        <w:t xml:space="preserve">Nº </w:t>
      </w:r>
      <w:r>
        <w:rPr>
          <w:b/>
          <w:bCs/>
          <w:sz w:val="20"/>
          <w:szCs w:val="20"/>
          <w:lang w:val="es-CL"/>
        </w:rPr>
        <w:t>1</w:t>
      </w:r>
      <w:r w:rsidRPr="00C333ED">
        <w:rPr>
          <w:b/>
          <w:bCs/>
          <w:sz w:val="20"/>
          <w:szCs w:val="20"/>
          <w:lang w:val="es-ES_tradnl"/>
        </w:rPr>
        <w:t xml:space="preserve">. </w:t>
      </w:r>
      <w:r>
        <w:rPr>
          <w:b/>
          <w:bCs/>
          <w:sz w:val="20"/>
          <w:szCs w:val="20"/>
          <w:lang w:val="es-ES_tradnl"/>
        </w:rPr>
        <w:t>Ranking de acuicultura en América Latina y El Caribe (2008 – 2010)</w:t>
      </w:r>
      <w:bookmarkEnd w:id="5"/>
    </w:p>
    <w:tbl>
      <w:tblPr>
        <w:tblW w:w="818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tblPr>
      <w:tblGrid>
        <w:gridCol w:w="341"/>
        <w:gridCol w:w="2054"/>
        <w:gridCol w:w="1158"/>
        <w:gridCol w:w="1159"/>
        <w:gridCol w:w="1159"/>
        <w:gridCol w:w="1159"/>
        <w:gridCol w:w="1159"/>
      </w:tblGrid>
      <w:tr w:rsidR="00B4009D" w:rsidRPr="00E63049">
        <w:trPr>
          <w:trHeight w:val="255"/>
          <w:jc w:val="center"/>
        </w:trPr>
        <w:tc>
          <w:tcPr>
            <w:tcW w:w="341" w:type="dxa"/>
            <w:tcBorders>
              <w:top w:val="single" w:sz="4" w:space="0" w:color="auto"/>
            </w:tcBorders>
            <w:shd w:val="clear" w:color="auto" w:fill="C00000"/>
            <w:noWrap/>
            <w:vAlign w:val="center"/>
          </w:tcPr>
          <w:bookmarkEnd w:id="6"/>
          <w:bookmarkEnd w:id="7"/>
          <w:p w:rsidR="00B4009D" w:rsidRPr="00E63049" w:rsidRDefault="00B4009D" w:rsidP="00E94B02">
            <w:pPr>
              <w:spacing w:after="0"/>
              <w:jc w:val="center"/>
              <w:rPr>
                <w:b/>
                <w:bCs/>
                <w:color w:val="FFFFFF"/>
                <w:sz w:val="16"/>
                <w:szCs w:val="16"/>
                <w:lang w:val="es-PE" w:eastAsia="es-PE"/>
              </w:rPr>
            </w:pPr>
            <w:r w:rsidRPr="00E63049">
              <w:rPr>
                <w:b/>
                <w:bCs/>
                <w:color w:val="FFFFFF"/>
                <w:sz w:val="16"/>
                <w:szCs w:val="16"/>
                <w:lang w:val="es-PE" w:eastAsia="es-PE"/>
              </w:rPr>
              <w:t>N°</w:t>
            </w:r>
          </w:p>
        </w:tc>
        <w:tc>
          <w:tcPr>
            <w:tcW w:w="2054" w:type="dxa"/>
            <w:tcBorders>
              <w:top w:val="single" w:sz="4" w:space="0" w:color="auto"/>
            </w:tcBorders>
            <w:shd w:val="clear" w:color="auto" w:fill="C00000"/>
            <w:noWrap/>
            <w:vAlign w:val="center"/>
          </w:tcPr>
          <w:p w:rsidR="00B4009D" w:rsidRPr="00E63049" w:rsidRDefault="00B4009D" w:rsidP="00E94B02">
            <w:pPr>
              <w:spacing w:after="0"/>
              <w:jc w:val="center"/>
              <w:rPr>
                <w:b/>
                <w:bCs/>
                <w:color w:val="FFFFFF"/>
                <w:sz w:val="16"/>
                <w:szCs w:val="16"/>
                <w:lang w:val="es-PE" w:eastAsia="es-PE"/>
              </w:rPr>
            </w:pPr>
            <w:r w:rsidRPr="00E63049">
              <w:rPr>
                <w:b/>
                <w:bCs/>
                <w:color w:val="FFFFFF"/>
                <w:sz w:val="16"/>
                <w:szCs w:val="16"/>
                <w:lang w:val="es-PE" w:eastAsia="es-PE"/>
              </w:rPr>
              <w:t>PAÍS</w:t>
            </w:r>
          </w:p>
        </w:tc>
        <w:tc>
          <w:tcPr>
            <w:tcW w:w="1158" w:type="dxa"/>
            <w:tcBorders>
              <w:top w:val="single" w:sz="4" w:space="0" w:color="auto"/>
            </w:tcBorders>
            <w:shd w:val="clear" w:color="auto" w:fill="C00000"/>
            <w:noWrap/>
            <w:vAlign w:val="center"/>
          </w:tcPr>
          <w:p w:rsidR="00B4009D" w:rsidRPr="00E63049" w:rsidRDefault="00B4009D" w:rsidP="00E94B02">
            <w:pPr>
              <w:spacing w:after="0"/>
              <w:jc w:val="center"/>
              <w:rPr>
                <w:b/>
                <w:bCs/>
                <w:color w:val="FFFFFF"/>
                <w:sz w:val="16"/>
                <w:szCs w:val="16"/>
                <w:lang w:val="es-PE" w:eastAsia="es-PE"/>
              </w:rPr>
            </w:pPr>
            <w:r w:rsidRPr="00E63049">
              <w:rPr>
                <w:b/>
                <w:bCs/>
                <w:color w:val="FFFFFF"/>
                <w:sz w:val="16"/>
                <w:szCs w:val="16"/>
                <w:lang w:val="es-PE" w:eastAsia="es-PE"/>
              </w:rPr>
              <w:t>2008</w:t>
            </w:r>
          </w:p>
        </w:tc>
        <w:tc>
          <w:tcPr>
            <w:tcW w:w="1159" w:type="dxa"/>
            <w:tcBorders>
              <w:top w:val="single" w:sz="4" w:space="0" w:color="auto"/>
            </w:tcBorders>
            <w:shd w:val="clear" w:color="auto" w:fill="C00000"/>
            <w:noWrap/>
            <w:vAlign w:val="center"/>
          </w:tcPr>
          <w:p w:rsidR="00B4009D" w:rsidRPr="00E63049" w:rsidRDefault="00B4009D" w:rsidP="00E94B02">
            <w:pPr>
              <w:spacing w:after="0"/>
              <w:jc w:val="center"/>
              <w:rPr>
                <w:b/>
                <w:bCs/>
                <w:color w:val="FFFFFF"/>
                <w:sz w:val="16"/>
                <w:szCs w:val="16"/>
                <w:lang w:val="es-PE" w:eastAsia="es-PE"/>
              </w:rPr>
            </w:pPr>
            <w:r w:rsidRPr="00E63049">
              <w:rPr>
                <w:b/>
                <w:bCs/>
                <w:color w:val="FFFFFF"/>
                <w:sz w:val="16"/>
                <w:szCs w:val="16"/>
                <w:lang w:val="es-PE" w:eastAsia="es-PE"/>
              </w:rPr>
              <w:t>2009</w:t>
            </w:r>
          </w:p>
        </w:tc>
        <w:tc>
          <w:tcPr>
            <w:tcW w:w="1159" w:type="dxa"/>
            <w:tcBorders>
              <w:top w:val="single" w:sz="4" w:space="0" w:color="auto"/>
            </w:tcBorders>
            <w:shd w:val="clear" w:color="auto" w:fill="C00000"/>
            <w:noWrap/>
            <w:vAlign w:val="center"/>
          </w:tcPr>
          <w:p w:rsidR="00B4009D" w:rsidRPr="00E63049" w:rsidRDefault="00B4009D" w:rsidP="00E94B02">
            <w:pPr>
              <w:spacing w:after="0"/>
              <w:jc w:val="center"/>
              <w:rPr>
                <w:b/>
                <w:bCs/>
                <w:color w:val="FFFFFF"/>
                <w:sz w:val="16"/>
                <w:szCs w:val="16"/>
                <w:lang w:val="es-PE" w:eastAsia="es-PE"/>
              </w:rPr>
            </w:pPr>
            <w:r w:rsidRPr="00E63049">
              <w:rPr>
                <w:b/>
                <w:bCs/>
                <w:color w:val="FFFFFF"/>
                <w:sz w:val="16"/>
                <w:szCs w:val="16"/>
                <w:lang w:val="es-PE" w:eastAsia="es-PE"/>
              </w:rPr>
              <w:t>2010 (*)</w:t>
            </w:r>
          </w:p>
        </w:tc>
        <w:tc>
          <w:tcPr>
            <w:tcW w:w="1159" w:type="dxa"/>
            <w:tcBorders>
              <w:top w:val="single" w:sz="4" w:space="0" w:color="auto"/>
            </w:tcBorders>
            <w:shd w:val="clear" w:color="auto" w:fill="C00000"/>
            <w:vAlign w:val="center"/>
          </w:tcPr>
          <w:p w:rsidR="00B4009D" w:rsidRPr="00E63049" w:rsidRDefault="00B4009D" w:rsidP="00E94B02">
            <w:pPr>
              <w:spacing w:after="0"/>
              <w:jc w:val="center"/>
              <w:rPr>
                <w:b/>
                <w:bCs/>
                <w:color w:val="FFFFFF"/>
                <w:sz w:val="16"/>
                <w:szCs w:val="16"/>
                <w:lang w:val="es-PE" w:eastAsia="es-PE"/>
              </w:rPr>
            </w:pPr>
            <w:r w:rsidRPr="00E63049">
              <w:rPr>
                <w:b/>
                <w:bCs/>
                <w:color w:val="FFFFFF"/>
                <w:sz w:val="16"/>
                <w:szCs w:val="16"/>
                <w:lang w:val="es-PE" w:eastAsia="es-PE"/>
              </w:rPr>
              <w:t>% 2009</w:t>
            </w:r>
          </w:p>
        </w:tc>
        <w:tc>
          <w:tcPr>
            <w:tcW w:w="1159" w:type="dxa"/>
            <w:tcBorders>
              <w:top w:val="single" w:sz="4" w:space="0" w:color="auto"/>
            </w:tcBorders>
            <w:shd w:val="clear" w:color="auto" w:fill="C00000"/>
            <w:vAlign w:val="center"/>
          </w:tcPr>
          <w:p w:rsidR="00B4009D" w:rsidRPr="00E63049" w:rsidRDefault="00B4009D" w:rsidP="00E94B02">
            <w:pPr>
              <w:spacing w:after="0"/>
              <w:jc w:val="center"/>
              <w:rPr>
                <w:b/>
                <w:bCs/>
                <w:color w:val="FFFFFF"/>
                <w:sz w:val="16"/>
                <w:szCs w:val="16"/>
                <w:lang w:val="es-PE" w:eastAsia="es-PE"/>
              </w:rPr>
            </w:pPr>
            <w:r w:rsidRPr="00E63049">
              <w:rPr>
                <w:b/>
                <w:bCs/>
                <w:color w:val="FFFFFF"/>
                <w:sz w:val="16"/>
                <w:szCs w:val="16"/>
                <w:lang w:val="es-PE" w:eastAsia="es-PE"/>
              </w:rPr>
              <w:t>% 2010</w:t>
            </w:r>
          </w:p>
        </w:tc>
      </w:tr>
      <w:tr w:rsidR="00B4009D" w:rsidRPr="00E63049">
        <w:trPr>
          <w:trHeight w:val="258"/>
          <w:jc w:val="center"/>
        </w:trPr>
        <w:tc>
          <w:tcPr>
            <w:tcW w:w="341" w:type="dxa"/>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1</w:t>
            </w:r>
          </w:p>
        </w:tc>
        <w:tc>
          <w:tcPr>
            <w:tcW w:w="2054" w:type="dxa"/>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CHILE</w:t>
            </w:r>
          </w:p>
        </w:tc>
        <w:tc>
          <w:tcPr>
            <w:tcW w:w="1158"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870,845 </w:t>
            </w:r>
          </w:p>
        </w:tc>
        <w:tc>
          <w:tcPr>
            <w:tcW w:w="1159"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758,013 </w:t>
            </w:r>
          </w:p>
        </w:tc>
        <w:tc>
          <w:tcPr>
            <w:tcW w:w="1159"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752,594 </w:t>
            </w:r>
          </w:p>
        </w:tc>
        <w:tc>
          <w:tcPr>
            <w:tcW w:w="1159" w:type="dxa"/>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38.4</w:t>
            </w:r>
          </w:p>
        </w:tc>
        <w:tc>
          <w:tcPr>
            <w:tcW w:w="1159" w:type="dxa"/>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36.3</w:t>
            </w:r>
          </w:p>
        </w:tc>
      </w:tr>
      <w:tr w:rsidR="00B4009D" w:rsidRPr="00E63049">
        <w:trPr>
          <w:trHeight w:val="258"/>
          <w:jc w:val="center"/>
        </w:trPr>
        <w:tc>
          <w:tcPr>
            <w:tcW w:w="341" w:type="dxa"/>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2</w:t>
            </w:r>
          </w:p>
        </w:tc>
        <w:tc>
          <w:tcPr>
            <w:tcW w:w="2054" w:type="dxa"/>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BRASIL</w:t>
            </w:r>
          </w:p>
        </w:tc>
        <w:tc>
          <w:tcPr>
            <w:tcW w:w="1158"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290,186 </w:t>
            </w:r>
          </w:p>
        </w:tc>
        <w:tc>
          <w:tcPr>
            <w:tcW w:w="1159"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415,636 </w:t>
            </w:r>
          </w:p>
        </w:tc>
        <w:tc>
          <w:tcPr>
            <w:tcW w:w="1159"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448,887 </w:t>
            </w:r>
          </w:p>
        </w:tc>
        <w:tc>
          <w:tcPr>
            <w:tcW w:w="1159" w:type="dxa"/>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21.0</w:t>
            </w:r>
          </w:p>
        </w:tc>
        <w:tc>
          <w:tcPr>
            <w:tcW w:w="1159" w:type="dxa"/>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21.7</w:t>
            </w:r>
          </w:p>
        </w:tc>
      </w:tr>
      <w:tr w:rsidR="00B4009D" w:rsidRPr="00E63049">
        <w:trPr>
          <w:trHeight w:val="258"/>
          <w:jc w:val="center"/>
        </w:trPr>
        <w:tc>
          <w:tcPr>
            <w:tcW w:w="341" w:type="dxa"/>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3</w:t>
            </w:r>
          </w:p>
        </w:tc>
        <w:tc>
          <w:tcPr>
            <w:tcW w:w="2054" w:type="dxa"/>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MÉXICO</w:t>
            </w:r>
          </w:p>
        </w:tc>
        <w:tc>
          <w:tcPr>
            <w:tcW w:w="1158"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283,625 </w:t>
            </w:r>
          </w:p>
        </w:tc>
        <w:tc>
          <w:tcPr>
            <w:tcW w:w="1159"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285,019 </w:t>
            </w:r>
          </w:p>
        </w:tc>
        <w:tc>
          <w:tcPr>
            <w:tcW w:w="1159"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270,717 </w:t>
            </w:r>
          </w:p>
        </w:tc>
        <w:tc>
          <w:tcPr>
            <w:tcW w:w="1159" w:type="dxa"/>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14.4</w:t>
            </w:r>
          </w:p>
        </w:tc>
        <w:tc>
          <w:tcPr>
            <w:tcW w:w="1159" w:type="dxa"/>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13.1</w:t>
            </w:r>
          </w:p>
        </w:tc>
      </w:tr>
      <w:tr w:rsidR="00B4009D" w:rsidRPr="00E63049">
        <w:trPr>
          <w:trHeight w:val="258"/>
          <w:jc w:val="center"/>
        </w:trPr>
        <w:tc>
          <w:tcPr>
            <w:tcW w:w="341" w:type="dxa"/>
            <w:tcBorders>
              <w:bottom w:val="single" w:sz="12" w:space="0" w:color="C00000"/>
            </w:tcBorders>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4</w:t>
            </w:r>
          </w:p>
        </w:tc>
        <w:tc>
          <w:tcPr>
            <w:tcW w:w="2054" w:type="dxa"/>
            <w:tcBorders>
              <w:bottom w:val="single" w:sz="12" w:space="0" w:color="C00000"/>
            </w:tcBorders>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ECUADOR</w:t>
            </w:r>
          </w:p>
        </w:tc>
        <w:tc>
          <w:tcPr>
            <w:tcW w:w="1158" w:type="dxa"/>
            <w:tcBorders>
              <w:bottom w:val="single" w:sz="12" w:space="0" w:color="C00000"/>
            </w:tcBorders>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172,120 </w:t>
            </w:r>
          </w:p>
        </w:tc>
        <w:tc>
          <w:tcPr>
            <w:tcW w:w="1159" w:type="dxa"/>
            <w:tcBorders>
              <w:bottom w:val="single" w:sz="12" w:space="0" w:color="C00000"/>
            </w:tcBorders>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218,361 </w:t>
            </w:r>
          </w:p>
        </w:tc>
        <w:tc>
          <w:tcPr>
            <w:tcW w:w="1159" w:type="dxa"/>
            <w:tcBorders>
              <w:bottom w:val="single" w:sz="12" w:space="0" w:color="C00000"/>
            </w:tcBorders>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235,830 </w:t>
            </w:r>
          </w:p>
        </w:tc>
        <w:tc>
          <w:tcPr>
            <w:tcW w:w="1159" w:type="dxa"/>
            <w:tcBorders>
              <w:bottom w:val="single" w:sz="12" w:space="0" w:color="C00000"/>
            </w:tcBorders>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11.1</w:t>
            </w:r>
          </w:p>
        </w:tc>
        <w:tc>
          <w:tcPr>
            <w:tcW w:w="1159" w:type="dxa"/>
            <w:tcBorders>
              <w:bottom w:val="single" w:sz="12" w:space="0" w:color="C00000"/>
            </w:tcBorders>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11.4</w:t>
            </w:r>
          </w:p>
        </w:tc>
      </w:tr>
      <w:tr w:rsidR="00B4009D" w:rsidRPr="00E63049">
        <w:trPr>
          <w:trHeight w:val="258"/>
          <w:jc w:val="center"/>
        </w:trPr>
        <w:tc>
          <w:tcPr>
            <w:tcW w:w="341" w:type="dxa"/>
            <w:tcBorders>
              <w:top w:val="single" w:sz="12" w:space="0" w:color="C00000"/>
              <w:left w:val="single" w:sz="12" w:space="0" w:color="C00000"/>
              <w:bottom w:val="single" w:sz="12" w:space="0" w:color="C00000"/>
            </w:tcBorders>
            <w:shd w:val="clear" w:color="000000" w:fill="FFFF00"/>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5</w:t>
            </w:r>
          </w:p>
        </w:tc>
        <w:tc>
          <w:tcPr>
            <w:tcW w:w="2054" w:type="dxa"/>
            <w:tcBorders>
              <w:top w:val="single" w:sz="12" w:space="0" w:color="C00000"/>
              <w:bottom w:val="single" w:sz="12" w:space="0" w:color="C00000"/>
            </w:tcBorders>
            <w:shd w:val="clear" w:color="000000" w:fill="FFFF00"/>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PERÚ</w:t>
            </w:r>
          </w:p>
        </w:tc>
        <w:tc>
          <w:tcPr>
            <w:tcW w:w="1158" w:type="dxa"/>
            <w:tcBorders>
              <w:top w:val="single" w:sz="12" w:space="0" w:color="C00000"/>
              <w:bottom w:val="single" w:sz="12" w:space="0" w:color="C00000"/>
            </w:tcBorders>
            <w:shd w:val="clear" w:color="000000" w:fill="FFFF00"/>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43,103 </w:t>
            </w:r>
          </w:p>
        </w:tc>
        <w:tc>
          <w:tcPr>
            <w:tcW w:w="1159" w:type="dxa"/>
            <w:tcBorders>
              <w:top w:val="single" w:sz="12" w:space="0" w:color="C00000"/>
              <w:bottom w:val="single" w:sz="12" w:space="0" w:color="C00000"/>
            </w:tcBorders>
            <w:shd w:val="clear" w:color="000000" w:fill="FFFF00"/>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44,317 </w:t>
            </w:r>
          </w:p>
        </w:tc>
        <w:tc>
          <w:tcPr>
            <w:tcW w:w="1159" w:type="dxa"/>
            <w:tcBorders>
              <w:top w:val="single" w:sz="12" w:space="0" w:color="C00000"/>
              <w:bottom w:val="single" w:sz="12" w:space="0" w:color="C00000"/>
            </w:tcBorders>
            <w:shd w:val="clear" w:color="000000" w:fill="FFFF00"/>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89,021 </w:t>
            </w:r>
          </w:p>
        </w:tc>
        <w:tc>
          <w:tcPr>
            <w:tcW w:w="1159" w:type="dxa"/>
            <w:tcBorders>
              <w:top w:val="single" w:sz="12" w:space="0" w:color="C00000"/>
              <w:bottom w:val="single" w:sz="12" w:space="0" w:color="C00000"/>
            </w:tcBorders>
            <w:shd w:val="clear" w:color="000000" w:fill="FFFF00"/>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3.9</w:t>
            </w:r>
          </w:p>
        </w:tc>
        <w:tc>
          <w:tcPr>
            <w:tcW w:w="1159" w:type="dxa"/>
            <w:tcBorders>
              <w:top w:val="single" w:sz="12" w:space="0" w:color="C00000"/>
              <w:bottom w:val="single" w:sz="12" w:space="0" w:color="C00000"/>
              <w:right w:val="single" w:sz="12" w:space="0" w:color="C00000"/>
            </w:tcBorders>
            <w:shd w:val="clear" w:color="000000" w:fill="FFFF00"/>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4.3</w:t>
            </w:r>
          </w:p>
        </w:tc>
      </w:tr>
      <w:tr w:rsidR="00B4009D" w:rsidRPr="00E63049">
        <w:trPr>
          <w:trHeight w:val="258"/>
          <w:jc w:val="center"/>
        </w:trPr>
        <w:tc>
          <w:tcPr>
            <w:tcW w:w="341" w:type="dxa"/>
            <w:tcBorders>
              <w:top w:val="single" w:sz="12" w:space="0" w:color="C00000"/>
            </w:tcBorders>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6</w:t>
            </w:r>
          </w:p>
        </w:tc>
        <w:tc>
          <w:tcPr>
            <w:tcW w:w="2054" w:type="dxa"/>
            <w:tcBorders>
              <w:top w:val="single" w:sz="12" w:space="0" w:color="C00000"/>
            </w:tcBorders>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COLOMBIA</w:t>
            </w:r>
          </w:p>
        </w:tc>
        <w:tc>
          <w:tcPr>
            <w:tcW w:w="1158" w:type="dxa"/>
            <w:tcBorders>
              <w:top w:val="single" w:sz="12" w:space="0" w:color="C00000"/>
            </w:tcBorders>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66,400 </w:t>
            </w:r>
          </w:p>
        </w:tc>
        <w:tc>
          <w:tcPr>
            <w:tcW w:w="1159" w:type="dxa"/>
            <w:tcBorders>
              <w:top w:val="single" w:sz="12" w:space="0" w:color="C00000"/>
            </w:tcBorders>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77,941 </w:t>
            </w:r>
          </w:p>
        </w:tc>
        <w:tc>
          <w:tcPr>
            <w:tcW w:w="1159" w:type="dxa"/>
            <w:tcBorders>
              <w:top w:val="single" w:sz="12" w:space="0" w:color="C00000"/>
            </w:tcBorders>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84,176 </w:t>
            </w:r>
          </w:p>
        </w:tc>
        <w:tc>
          <w:tcPr>
            <w:tcW w:w="1159" w:type="dxa"/>
            <w:tcBorders>
              <w:top w:val="single" w:sz="12" w:space="0" w:color="C00000"/>
            </w:tcBorders>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2.2</w:t>
            </w:r>
          </w:p>
        </w:tc>
        <w:tc>
          <w:tcPr>
            <w:tcW w:w="1159" w:type="dxa"/>
            <w:tcBorders>
              <w:top w:val="single" w:sz="12" w:space="0" w:color="C00000"/>
            </w:tcBorders>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4.1</w:t>
            </w:r>
          </w:p>
        </w:tc>
      </w:tr>
      <w:tr w:rsidR="00B4009D" w:rsidRPr="00E63049">
        <w:trPr>
          <w:trHeight w:val="258"/>
          <w:jc w:val="center"/>
        </w:trPr>
        <w:tc>
          <w:tcPr>
            <w:tcW w:w="341" w:type="dxa"/>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7</w:t>
            </w:r>
          </w:p>
        </w:tc>
        <w:tc>
          <w:tcPr>
            <w:tcW w:w="2054" w:type="dxa"/>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CUBA</w:t>
            </w:r>
          </w:p>
        </w:tc>
        <w:tc>
          <w:tcPr>
            <w:tcW w:w="1158"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34,514 </w:t>
            </w:r>
          </w:p>
        </w:tc>
        <w:tc>
          <w:tcPr>
            <w:tcW w:w="1159"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36,206 </w:t>
            </w:r>
          </w:p>
        </w:tc>
        <w:tc>
          <w:tcPr>
            <w:tcW w:w="1159"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39,102 </w:t>
            </w:r>
          </w:p>
        </w:tc>
        <w:tc>
          <w:tcPr>
            <w:tcW w:w="1159" w:type="dxa"/>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1.8</w:t>
            </w:r>
          </w:p>
        </w:tc>
        <w:tc>
          <w:tcPr>
            <w:tcW w:w="1159" w:type="dxa"/>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1.9</w:t>
            </w:r>
          </w:p>
        </w:tc>
      </w:tr>
      <w:tr w:rsidR="00B4009D" w:rsidRPr="00E63049">
        <w:trPr>
          <w:trHeight w:val="258"/>
          <w:jc w:val="center"/>
        </w:trPr>
        <w:tc>
          <w:tcPr>
            <w:tcW w:w="341" w:type="dxa"/>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8</w:t>
            </w:r>
          </w:p>
        </w:tc>
        <w:tc>
          <w:tcPr>
            <w:tcW w:w="2054" w:type="dxa"/>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HONDURAS</w:t>
            </w:r>
          </w:p>
        </w:tc>
        <w:tc>
          <w:tcPr>
            <w:tcW w:w="1158"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47,080 </w:t>
            </w:r>
          </w:p>
        </w:tc>
        <w:tc>
          <w:tcPr>
            <w:tcW w:w="1159"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28,858 </w:t>
            </w:r>
          </w:p>
        </w:tc>
        <w:tc>
          <w:tcPr>
            <w:tcW w:w="1159"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31,167 </w:t>
            </w:r>
          </w:p>
        </w:tc>
        <w:tc>
          <w:tcPr>
            <w:tcW w:w="1159" w:type="dxa"/>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1.5</w:t>
            </w:r>
          </w:p>
        </w:tc>
        <w:tc>
          <w:tcPr>
            <w:tcW w:w="1159" w:type="dxa"/>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1.5</w:t>
            </w:r>
          </w:p>
        </w:tc>
      </w:tr>
      <w:tr w:rsidR="00B4009D" w:rsidRPr="00E63049">
        <w:trPr>
          <w:trHeight w:val="258"/>
          <w:jc w:val="center"/>
        </w:trPr>
        <w:tc>
          <w:tcPr>
            <w:tcW w:w="341" w:type="dxa"/>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9</w:t>
            </w:r>
          </w:p>
        </w:tc>
        <w:tc>
          <w:tcPr>
            <w:tcW w:w="2054" w:type="dxa"/>
            <w:noWrap/>
            <w:vAlign w:val="center"/>
          </w:tcPr>
          <w:p w:rsidR="00B4009D" w:rsidRPr="00E63049" w:rsidRDefault="00B4009D" w:rsidP="00E94B02">
            <w:pPr>
              <w:spacing w:after="0"/>
              <w:rPr>
                <w:b/>
                <w:bCs/>
                <w:sz w:val="16"/>
                <w:szCs w:val="16"/>
                <w:lang w:val="es-PE" w:eastAsia="es-PE"/>
              </w:rPr>
            </w:pPr>
            <w:r w:rsidRPr="00E63049">
              <w:rPr>
                <w:b/>
                <w:bCs/>
                <w:sz w:val="16"/>
                <w:szCs w:val="16"/>
                <w:lang w:val="es-PE" w:eastAsia="es-PE"/>
              </w:rPr>
              <w:t>OTROS</w:t>
            </w:r>
          </w:p>
        </w:tc>
        <w:tc>
          <w:tcPr>
            <w:tcW w:w="1158"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67,843 </w:t>
            </w:r>
          </w:p>
        </w:tc>
        <w:tc>
          <w:tcPr>
            <w:tcW w:w="1159"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111,338 </w:t>
            </w:r>
          </w:p>
        </w:tc>
        <w:tc>
          <w:tcPr>
            <w:tcW w:w="1159" w:type="dxa"/>
            <w:noWrap/>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 xml:space="preserve">         120,245 </w:t>
            </w:r>
          </w:p>
        </w:tc>
        <w:tc>
          <w:tcPr>
            <w:tcW w:w="1159" w:type="dxa"/>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5.6</w:t>
            </w:r>
          </w:p>
        </w:tc>
        <w:tc>
          <w:tcPr>
            <w:tcW w:w="1159" w:type="dxa"/>
            <w:vAlign w:val="center"/>
          </w:tcPr>
          <w:p w:rsidR="00B4009D" w:rsidRPr="00E63049" w:rsidRDefault="00B4009D" w:rsidP="00E94B02">
            <w:pPr>
              <w:spacing w:after="0"/>
              <w:jc w:val="right"/>
              <w:rPr>
                <w:b/>
                <w:bCs/>
                <w:sz w:val="16"/>
                <w:szCs w:val="16"/>
                <w:lang w:val="es-PE" w:eastAsia="es-PE"/>
              </w:rPr>
            </w:pPr>
            <w:r w:rsidRPr="00E63049">
              <w:rPr>
                <w:b/>
                <w:bCs/>
                <w:sz w:val="16"/>
                <w:szCs w:val="16"/>
                <w:lang w:val="es-PE" w:eastAsia="es-PE"/>
              </w:rPr>
              <w:t>5.8</w:t>
            </w:r>
          </w:p>
        </w:tc>
      </w:tr>
      <w:tr w:rsidR="00B4009D" w:rsidRPr="00E63049">
        <w:trPr>
          <w:trHeight w:val="270"/>
          <w:jc w:val="center"/>
        </w:trPr>
        <w:tc>
          <w:tcPr>
            <w:tcW w:w="341" w:type="dxa"/>
            <w:tcBorders>
              <w:bottom w:val="single" w:sz="4" w:space="0" w:color="auto"/>
            </w:tcBorders>
            <w:shd w:val="clear" w:color="auto" w:fill="404040"/>
            <w:noWrap/>
            <w:vAlign w:val="center"/>
          </w:tcPr>
          <w:p w:rsidR="00B4009D" w:rsidRPr="00E63049" w:rsidRDefault="00B4009D" w:rsidP="00E94B02">
            <w:pPr>
              <w:spacing w:after="0"/>
              <w:rPr>
                <w:b/>
                <w:bCs/>
                <w:color w:val="FFFFFF"/>
                <w:sz w:val="16"/>
                <w:szCs w:val="16"/>
                <w:lang w:val="es-PE" w:eastAsia="es-PE"/>
              </w:rPr>
            </w:pPr>
            <w:r w:rsidRPr="00E63049">
              <w:rPr>
                <w:b/>
                <w:bCs/>
                <w:color w:val="FFFFFF"/>
                <w:sz w:val="16"/>
                <w:szCs w:val="16"/>
                <w:lang w:val="es-PE" w:eastAsia="es-PE"/>
              </w:rPr>
              <w:t> </w:t>
            </w:r>
          </w:p>
        </w:tc>
        <w:tc>
          <w:tcPr>
            <w:tcW w:w="2054" w:type="dxa"/>
            <w:tcBorders>
              <w:bottom w:val="single" w:sz="4" w:space="0" w:color="auto"/>
            </w:tcBorders>
            <w:shd w:val="clear" w:color="auto" w:fill="404040"/>
            <w:noWrap/>
            <w:vAlign w:val="center"/>
          </w:tcPr>
          <w:p w:rsidR="00B4009D" w:rsidRPr="00E63049" w:rsidRDefault="00B4009D" w:rsidP="00E94B02">
            <w:pPr>
              <w:spacing w:after="0"/>
              <w:rPr>
                <w:b/>
                <w:bCs/>
                <w:color w:val="FFFFFF"/>
                <w:sz w:val="16"/>
                <w:szCs w:val="16"/>
                <w:lang w:val="es-PE" w:eastAsia="es-PE"/>
              </w:rPr>
            </w:pPr>
            <w:r w:rsidRPr="00E63049">
              <w:rPr>
                <w:b/>
                <w:bCs/>
                <w:color w:val="FFFFFF"/>
                <w:sz w:val="16"/>
                <w:szCs w:val="16"/>
                <w:lang w:val="es-PE" w:eastAsia="es-PE"/>
              </w:rPr>
              <w:t>TOTAL</w:t>
            </w:r>
          </w:p>
        </w:tc>
        <w:tc>
          <w:tcPr>
            <w:tcW w:w="1158" w:type="dxa"/>
            <w:tcBorders>
              <w:bottom w:val="single" w:sz="4" w:space="0" w:color="auto"/>
            </w:tcBorders>
            <w:shd w:val="clear" w:color="auto" w:fill="404040"/>
            <w:noWrap/>
            <w:vAlign w:val="center"/>
          </w:tcPr>
          <w:p w:rsidR="00B4009D" w:rsidRPr="00E63049" w:rsidRDefault="00B4009D" w:rsidP="00E94B02">
            <w:pPr>
              <w:spacing w:after="0"/>
              <w:rPr>
                <w:b/>
                <w:bCs/>
                <w:color w:val="FFFFFF"/>
                <w:sz w:val="16"/>
                <w:szCs w:val="16"/>
                <w:lang w:val="es-PE" w:eastAsia="es-PE"/>
              </w:rPr>
            </w:pPr>
            <w:r w:rsidRPr="00E63049">
              <w:rPr>
                <w:b/>
                <w:bCs/>
                <w:color w:val="FFFFFF"/>
                <w:sz w:val="16"/>
                <w:szCs w:val="16"/>
                <w:lang w:val="es-PE" w:eastAsia="es-PE"/>
              </w:rPr>
              <w:t xml:space="preserve">     1,875,716 </w:t>
            </w:r>
          </w:p>
        </w:tc>
        <w:tc>
          <w:tcPr>
            <w:tcW w:w="1159" w:type="dxa"/>
            <w:tcBorders>
              <w:bottom w:val="single" w:sz="4" w:space="0" w:color="auto"/>
            </w:tcBorders>
            <w:shd w:val="clear" w:color="auto" w:fill="404040"/>
            <w:noWrap/>
            <w:vAlign w:val="center"/>
          </w:tcPr>
          <w:p w:rsidR="00B4009D" w:rsidRPr="00E63049" w:rsidRDefault="00B4009D" w:rsidP="00E94B02">
            <w:pPr>
              <w:spacing w:after="0"/>
              <w:rPr>
                <w:b/>
                <w:bCs/>
                <w:color w:val="FFFFFF"/>
                <w:sz w:val="16"/>
                <w:szCs w:val="16"/>
                <w:lang w:val="es-PE" w:eastAsia="es-PE"/>
              </w:rPr>
            </w:pPr>
            <w:r w:rsidRPr="00E63049">
              <w:rPr>
                <w:b/>
                <w:bCs/>
                <w:color w:val="FFFFFF"/>
                <w:sz w:val="16"/>
                <w:szCs w:val="16"/>
                <w:lang w:val="es-PE" w:eastAsia="es-PE"/>
              </w:rPr>
              <w:t xml:space="preserve">     1,975,689 </w:t>
            </w:r>
          </w:p>
        </w:tc>
        <w:tc>
          <w:tcPr>
            <w:tcW w:w="1159" w:type="dxa"/>
            <w:tcBorders>
              <w:bottom w:val="single" w:sz="4" w:space="0" w:color="auto"/>
            </w:tcBorders>
            <w:shd w:val="clear" w:color="auto" w:fill="404040"/>
            <w:noWrap/>
            <w:vAlign w:val="center"/>
          </w:tcPr>
          <w:p w:rsidR="00B4009D" w:rsidRPr="00E63049" w:rsidRDefault="00B4009D" w:rsidP="00E94B02">
            <w:pPr>
              <w:spacing w:after="0"/>
              <w:rPr>
                <w:b/>
                <w:bCs/>
                <w:color w:val="FFFFFF"/>
                <w:sz w:val="16"/>
                <w:szCs w:val="16"/>
                <w:lang w:val="es-PE" w:eastAsia="es-PE"/>
              </w:rPr>
            </w:pPr>
            <w:r w:rsidRPr="00E63049">
              <w:rPr>
                <w:b/>
                <w:bCs/>
                <w:color w:val="FFFFFF"/>
                <w:sz w:val="16"/>
                <w:szCs w:val="16"/>
                <w:lang w:val="es-PE" w:eastAsia="es-PE"/>
              </w:rPr>
              <w:t xml:space="preserve">     2,071,739 </w:t>
            </w:r>
          </w:p>
        </w:tc>
        <w:tc>
          <w:tcPr>
            <w:tcW w:w="1159" w:type="dxa"/>
            <w:tcBorders>
              <w:bottom w:val="single" w:sz="4" w:space="0" w:color="auto"/>
            </w:tcBorders>
            <w:shd w:val="clear" w:color="auto" w:fill="404040"/>
            <w:vAlign w:val="center"/>
          </w:tcPr>
          <w:p w:rsidR="00B4009D" w:rsidRPr="00E63049" w:rsidRDefault="00B4009D" w:rsidP="00E94B02">
            <w:pPr>
              <w:spacing w:after="0"/>
              <w:jc w:val="right"/>
              <w:rPr>
                <w:b/>
                <w:bCs/>
                <w:color w:val="FFFFFF"/>
                <w:sz w:val="16"/>
                <w:szCs w:val="16"/>
                <w:lang w:val="es-PE" w:eastAsia="es-PE"/>
              </w:rPr>
            </w:pPr>
            <w:r w:rsidRPr="00E63049">
              <w:rPr>
                <w:b/>
                <w:bCs/>
                <w:color w:val="FFFFFF"/>
                <w:sz w:val="16"/>
                <w:szCs w:val="16"/>
                <w:lang w:val="es-PE" w:eastAsia="es-PE"/>
              </w:rPr>
              <w:t>100</w:t>
            </w:r>
          </w:p>
        </w:tc>
        <w:tc>
          <w:tcPr>
            <w:tcW w:w="1159" w:type="dxa"/>
            <w:tcBorders>
              <w:bottom w:val="single" w:sz="4" w:space="0" w:color="auto"/>
            </w:tcBorders>
            <w:shd w:val="clear" w:color="auto" w:fill="404040"/>
            <w:vAlign w:val="center"/>
          </w:tcPr>
          <w:p w:rsidR="00B4009D" w:rsidRPr="00E63049" w:rsidRDefault="00B4009D" w:rsidP="00E94B02">
            <w:pPr>
              <w:spacing w:after="0"/>
              <w:jc w:val="right"/>
              <w:rPr>
                <w:b/>
                <w:bCs/>
                <w:color w:val="FFFFFF"/>
                <w:sz w:val="16"/>
                <w:szCs w:val="16"/>
                <w:lang w:val="es-PE" w:eastAsia="es-PE"/>
              </w:rPr>
            </w:pPr>
            <w:r w:rsidRPr="00E63049">
              <w:rPr>
                <w:b/>
                <w:bCs/>
                <w:color w:val="FFFFFF"/>
                <w:sz w:val="16"/>
                <w:szCs w:val="16"/>
                <w:lang w:val="es-PE" w:eastAsia="es-PE"/>
              </w:rPr>
              <w:t>100</w:t>
            </w:r>
          </w:p>
        </w:tc>
      </w:tr>
    </w:tbl>
    <w:p w:rsidR="00B4009D" w:rsidRPr="00713CB8" w:rsidRDefault="00B4009D" w:rsidP="00AC533A">
      <w:pPr>
        <w:spacing w:after="0"/>
        <w:rPr>
          <w:sz w:val="18"/>
          <w:szCs w:val="18"/>
        </w:rPr>
      </w:pPr>
      <w:bookmarkStart w:id="8" w:name="OLE_LINK123"/>
      <w:bookmarkStart w:id="9" w:name="OLE_LINK124"/>
      <w:bookmarkStart w:id="10" w:name="OLE_LINK50"/>
      <w:bookmarkStart w:id="11" w:name="OLE_LINK51"/>
      <w:r w:rsidRPr="00713CB8">
        <w:rPr>
          <w:sz w:val="18"/>
          <w:szCs w:val="18"/>
        </w:rPr>
        <w:t>Fuente: Fishstat Plus – FAO</w:t>
      </w:r>
    </w:p>
    <w:bookmarkEnd w:id="8"/>
    <w:bookmarkEnd w:id="9"/>
    <w:bookmarkEnd w:id="10"/>
    <w:bookmarkEnd w:id="11"/>
    <w:p w:rsidR="00B4009D" w:rsidRPr="00713CB8" w:rsidRDefault="00B4009D" w:rsidP="00E6121A">
      <w:pPr>
        <w:spacing w:after="0"/>
        <w:ind w:left="406" w:hanging="264"/>
        <w:jc w:val="both"/>
        <w:rPr>
          <w:sz w:val="18"/>
          <w:szCs w:val="18"/>
        </w:rPr>
      </w:pPr>
      <w:r>
        <w:rPr>
          <w:sz w:val="18"/>
          <w:szCs w:val="18"/>
        </w:rPr>
        <w:t>(*) Datos de cosecha proyectados exceptuando Brasil, Chile, México y Perú, las cuales provienen de fuentes oficiales (PRODUCE en Perú, MIMPA en Brasil, SERNAPESCA en Chile y CONAPESCA en México)</w:t>
      </w:r>
    </w:p>
    <w:p w:rsidR="00B4009D" w:rsidRDefault="00B4009D" w:rsidP="00E66495">
      <w:pPr>
        <w:spacing w:after="0" w:line="240" w:lineRule="auto"/>
        <w:jc w:val="both"/>
        <w:rPr>
          <w:b/>
          <w:bCs/>
          <w:i/>
          <w:iCs/>
          <w:sz w:val="20"/>
          <w:szCs w:val="20"/>
        </w:rPr>
      </w:pPr>
    </w:p>
    <w:p w:rsidR="00B4009D" w:rsidRPr="00AC533A" w:rsidRDefault="00B4009D" w:rsidP="00C94833">
      <w:pPr>
        <w:pStyle w:val="ListParagraph"/>
        <w:numPr>
          <w:ilvl w:val="0"/>
          <w:numId w:val="3"/>
        </w:numPr>
        <w:spacing w:after="0" w:line="240" w:lineRule="auto"/>
        <w:ind w:left="364"/>
        <w:jc w:val="both"/>
        <w:rPr>
          <w:rFonts w:ascii="Arial" w:hAnsi="Arial" w:cs="Arial"/>
          <w:b/>
          <w:bCs/>
          <w:sz w:val="20"/>
          <w:szCs w:val="20"/>
          <w:u w:val="single"/>
          <w:lang w:val="es-PE"/>
        </w:rPr>
      </w:pPr>
      <w:r w:rsidRPr="00AC533A">
        <w:rPr>
          <w:rFonts w:ascii="Arial" w:hAnsi="Arial" w:cs="Arial"/>
          <w:b/>
          <w:bCs/>
          <w:sz w:val="20"/>
          <w:szCs w:val="20"/>
          <w:u w:val="single"/>
          <w:lang w:val="es-PE"/>
        </w:rPr>
        <w:t>Sobre las estructuras organizativas en Pesca y Acuicultura</w:t>
      </w:r>
    </w:p>
    <w:p w:rsidR="00B4009D" w:rsidRPr="00AC533A" w:rsidRDefault="00B4009D" w:rsidP="004C1928">
      <w:pPr>
        <w:spacing w:after="0" w:line="240" w:lineRule="auto"/>
        <w:jc w:val="both"/>
        <w:rPr>
          <w:rFonts w:ascii="Arial" w:hAnsi="Arial" w:cs="Arial"/>
          <w:sz w:val="20"/>
          <w:szCs w:val="20"/>
        </w:rPr>
      </w:pPr>
    </w:p>
    <w:p w:rsidR="00B4009D" w:rsidRPr="00AC533A" w:rsidRDefault="00B4009D" w:rsidP="004620D5">
      <w:pPr>
        <w:spacing w:after="0" w:line="240" w:lineRule="auto"/>
        <w:jc w:val="both"/>
        <w:rPr>
          <w:rFonts w:ascii="Arial" w:hAnsi="Arial" w:cs="Arial"/>
          <w:sz w:val="20"/>
          <w:szCs w:val="20"/>
        </w:rPr>
      </w:pPr>
      <w:r w:rsidRPr="00AC533A">
        <w:rPr>
          <w:rFonts w:ascii="Arial" w:hAnsi="Arial" w:cs="Arial"/>
          <w:sz w:val="20"/>
          <w:szCs w:val="20"/>
        </w:rPr>
        <w:t>En Sudamérica, los países de Brasil, Chile y Ecuador, que participan activamente en el desarrollo de la Pesca y Acuicultura Regional, cuentan con estructuras organizacionales que diferencian la actividad de la pesca extractiva (artesanal e industrial) y la acuicultura. Esta diferenciación les permite focalizar a la población objetivo que atiende, organizar el desarrollo de ambas actividades, atender necesidades específicas de las mismas, y les están permitiendo impulsar especialmente el desarrollo de la acuicultura.</w:t>
      </w:r>
    </w:p>
    <w:p w:rsidR="00B4009D" w:rsidRPr="00AC533A" w:rsidRDefault="00B4009D" w:rsidP="004C1928">
      <w:pPr>
        <w:spacing w:after="0" w:line="240" w:lineRule="auto"/>
        <w:jc w:val="both"/>
        <w:rPr>
          <w:rFonts w:ascii="Arial" w:hAnsi="Arial" w:cs="Arial"/>
          <w:sz w:val="20"/>
          <w:szCs w:val="20"/>
        </w:rPr>
      </w:pPr>
    </w:p>
    <w:p w:rsidR="00B4009D" w:rsidRPr="00AC533A" w:rsidRDefault="00B4009D" w:rsidP="004620D5">
      <w:pPr>
        <w:spacing w:after="0" w:line="240" w:lineRule="auto"/>
        <w:jc w:val="both"/>
        <w:rPr>
          <w:rFonts w:ascii="Arial" w:hAnsi="Arial" w:cs="Arial"/>
          <w:sz w:val="20"/>
          <w:szCs w:val="20"/>
        </w:rPr>
      </w:pPr>
      <w:r w:rsidRPr="00AC533A">
        <w:rPr>
          <w:rFonts w:ascii="Arial" w:hAnsi="Arial" w:cs="Arial"/>
          <w:sz w:val="20"/>
          <w:szCs w:val="20"/>
        </w:rPr>
        <w:t xml:space="preserve">Brasil, con el propósito de impulsar la Pesca y la Acuicultura instauró el Ministerio de Pesca y Acuicultura (MIMPA - </w:t>
      </w:r>
      <w:hyperlink r:id="rId9" w:history="1">
        <w:r w:rsidRPr="00AC533A">
          <w:rPr>
            <w:rStyle w:val="Hyperlink"/>
            <w:rFonts w:ascii="Arial" w:hAnsi="Arial" w:cs="Arial"/>
            <w:sz w:val="20"/>
            <w:szCs w:val="20"/>
          </w:rPr>
          <w:t>www.mimpa.gov.br</w:t>
        </w:r>
      </w:hyperlink>
      <w:r w:rsidRPr="00AC533A">
        <w:rPr>
          <w:rFonts w:ascii="Arial" w:hAnsi="Arial" w:cs="Arial"/>
          <w:sz w:val="20"/>
          <w:szCs w:val="20"/>
        </w:rPr>
        <w:t>) la cual en su estructura organizativa diferencia el Ordenamiento y Planeamiento de la Acuicultura del Ordenamiento y Planeamiento para la Pesca, ello le está permitiendo organizar e impulsar especialmente la acuicultura como fuente de empleo e ingresos y su particular contribución con la seguridad alimentaria, además la diferenciación entre pesca y acuicultura les permite desburocratizar la gestión para la acuicultura y la proactividad para contribuir con su crecimiento.</w:t>
      </w:r>
    </w:p>
    <w:p w:rsidR="00B4009D" w:rsidRPr="00AC533A" w:rsidRDefault="00B4009D" w:rsidP="004C1928">
      <w:pPr>
        <w:spacing w:after="0" w:line="240" w:lineRule="auto"/>
        <w:jc w:val="both"/>
        <w:rPr>
          <w:rFonts w:ascii="Arial" w:hAnsi="Arial" w:cs="Arial"/>
          <w:sz w:val="20"/>
          <w:szCs w:val="20"/>
        </w:rPr>
      </w:pPr>
    </w:p>
    <w:p w:rsidR="00B4009D" w:rsidRPr="00AC533A" w:rsidRDefault="00B4009D" w:rsidP="00934821">
      <w:pPr>
        <w:spacing w:after="0" w:line="240" w:lineRule="auto"/>
        <w:jc w:val="both"/>
        <w:rPr>
          <w:rFonts w:ascii="Arial" w:hAnsi="Arial" w:cs="Arial"/>
          <w:sz w:val="20"/>
          <w:szCs w:val="20"/>
        </w:rPr>
      </w:pPr>
      <w:r w:rsidRPr="00AC533A">
        <w:rPr>
          <w:rFonts w:ascii="Arial" w:hAnsi="Arial" w:cs="Arial"/>
          <w:sz w:val="20"/>
          <w:szCs w:val="20"/>
        </w:rPr>
        <w:t xml:space="preserve">En Chile, se tiene al Ministerio Economía, Fomento y Turismo, el cual cuenta con la Subsecretaría de Pesca </w:t>
      </w:r>
      <w:hyperlink r:id="rId10" w:history="1">
        <w:r w:rsidRPr="00AC533A">
          <w:rPr>
            <w:rStyle w:val="Hyperlink"/>
            <w:rFonts w:ascii="Arial" w:hAnsi="Arial" w:cs="Arial"/>
            <w:sz w:val="20"/>
            <w:szCs w:val="20"/>
          </w:rPr>
          <w:t>http://www.subpesca.cl</w:t>
        </w:r>
      </w:hyperlink>
      <w:r w:rsidRPr="00AC533A">
        <w:rPr>
          <w:rFonts w:ascii="Arial" w:hAnsi="Arial" w:cs="Arial"/>
          <w:sz w:val="20"/>
          <w:szCs w:val="20"/>
        </w:rPr>
        <w:t xml:space="preserve"> (equivalente al Viceministerio de Pesquería) la cual es la responsable de la pesca y acuicultura chilena, la estructura organizacional de la referida Subsecretaria también le brinda un trato diferenciado a la pesca y a la acuicultura; tal es así que, entre las unidades orgánicas de línea tiene a la División de Administración Pesquera, la División de Desarrollo Pesquero y la División de Acuicultura (equivalentes a las Direcciones Generales del PRODUCE), ésta última cuenta con unidades que se dedican a los temas de ordenamiento, trámites, gestión y políticas, asuntos ambientales, asuntos sanitarios; esta División de Acuicultura depende directamente de la Subsecretaría de Pesca, brindándole un nivel de decisión en los temas de su competencia. Dicha estructura ha permitido que la acuicultura tenga un desarrollo importante en dicho país; sin embargo, por la necesidad de llevar adelante un cambio más estructural en la institucionalidad pesquera y acuícola que contribuya a la mejor administración de ambas actividades, la Cámara de Senadores de Chile ha brindado las indicaciones para crear el Ministerio de Pesca y Acuicultura</w:t>
      </w:r>
      <w:r w:rsidRPr="00AC533A">
        <w:rPr>
          <w:rStyle w:val="FootnoteReference"/>
          <w:rFonts w:ascii="Arial" w:hAnsi="Arial" w:cs="Arial"/>
          <w:sz w:val="20"/>
          <w:szCs w:val="20"/>
        </w:rPr>
        <w:footnoteReference w:id="3"/>
      </w:r>
      <w:r w:rsidRPr="00AC533A">
        <w:rPr>
          <w:rFonts w:ascii="Arial" w:hAnsi="Arial" w:cs="Arial"/>
          <w:sz w:val="20"/>
          <w:szCs w:val="20"/>
        </w:rPr>
        <w:t>.</w:t>
      </w:r>
    </w:p>
    <w:p w:rsidR="00B4009D" w:rsidRPr="00AC533A" w:rsidRDefault="00B4009D" w:rsidP="004C1928">
      <w:pPr>
        <w:spacing w:after="0" w:line="240" w:lineRule="auto"/>
        <w:jc w:val="both"/>
        <w:rPr>
          <w:rFonts w:ascii="Arial" w:hAnsi="Arial" w:cs="Arial"/>
          <w:sz w:val="16"/>
          <w:szCs w:val="16"/>
        </w:rPr>
      </w:pPr>
    </w:p>
    <w:p w:rsidR="00B4009D" w:rsidRPr="00AC533A" w:rsidRDefault="00B4009D" w:rsidP="004C1928">
      <w:pPr>
        <w:spacing w:after="0" w:line="240" w:lineRule="auto"/>
        <w:jc w:val="both"/>
        <w:rPr>
          <w:rFonts w:ascii="Arial" w:hAnsi="Arial" w:cs="Arial"/>
          <w:sz w:val="20"/>
          <w:szCs w:val="20"/>
        </w:rPr>
      </w:pPr>
      <w:r w:rsidRPr="00AC533A">
        <w:rPr>
          <w:rFonts w:ascii="Arial" w:hAnsi="Arial" w:cs="Arial"/>
          <w:sz w:val="20"/>
          <w:szCs w:val="20"/>
        </w:rPr>
        <w:t>En Ecuador, existe el Ministerio de Agricultura, Ganadería, Acuacultura y Pesca (</w:t>
      </w:r>
      <w:hyperlink r:id="rId11" w:history="1">
        <w:r w:rsidRPr="00AC533A">
          <w:rPr>
            <w:rStyle w:val="Hyperlink"/>
            <w:rFonts w:ascii="Arial" w:hAnsi="Arial" w:cs="Arial"/>
            <w:sz w:val="20"/>
            <w:szCs w:val="20"/>
          </w:rPr>
          <w:t>http://www.magap.gob.ec</w:t>
        </w:r>
      </w:hyperlink>
      <w:r w:rsidRPr="00AC533A">
        <w:rPr>
          <w:rFonts w:ascii="Arial" w:hAnsi="Arial" w:cs="Arial"/>
          <w:sz w:val="20"/>
          <w:szCs w:val="20"/>
        </w:rPr>
        <w:t>), éste cuenta con el Viceministerio de Acuacultura y Pesca el cual a su vez tiene dos Subsecretarías especializadas las cuales son la Subsecretaría de Acuacultura y la Subsecretaria de Pesca (equivalentes a Direcciones Generales), ésta última enfocada a la pesca industrial y la pesca artesanal; respecto a la Subsecretaría de Acuacultura se debe indicar que ésta cuenta con  Direcciones dedicadas a los temas de Políticas y Ordenamiento Acuícola, Gestión Acuícola y Control Acuícola</w:t>
      </w:r>
      <w:r w:rsidRPr="00AC533A">
        <w:rPr>
          <w:rStyle w:val="FootnoteReference"/>
          <w:rFonts w:ascii="Arial" w:hAnsi="Arial" w:cs="Arial"/>
          <w:sz w:val="20"/>
          <w:szCs w:val="20"/>
        </w:rPr>
        <w:footnoteReference w:id="4"/>
      </w:r>
      <w:r w:rsidRPr="00AC533A">
        <w:rPr>
          <w:rFonts w:ascii="Arial" w:hAnsi="Arial" w:cs="Arial"/>
          <w:sz w:val="20"/>
          <w:szCs w:val="20"/>
        </w:rPr>
        <w:t>.</w:t>
      </w:r>
    </w:p>
    <w:p w:rsidR="00B4009D" w:rsidRPr="00AC533A" w:rsidRDefault="00B4009D" w:rsidP="004C1928">
      <w:pPr>
        <w:spacing w:after="0" w:line="240" w:lineRule="auto"/>
        <w:jc w:val="both"/>
        <w:rPr>
          <w:rFonts w:ascii="Arial" w:hAnsi="Arial" w:cs="Arial"/>
          <w:sz w:val="16"/>
          <w:szCs w:val="16"/>
        </w:rPr>
      </w:pPr>
    </w:p>
    <w:p w:rsidR="00B4009D" w:rsidRPr="00AC533A" w:rsidRDefault="00B4009D" w:rsidP="00347A46">
      <w:pPr>
        <w:spacing w:after="0" w:line="240" w:lineRule="auto"/>
        <w:jc w:val="both"/>
        <w:rPr>
          <w:rFonts w:ascii="Arial" w:hAnsi="Arial" w:cs="Arial"/>
          <w:sz w:val="20"/>
          <w:szCs w:val="20"/>
        </w:rPr>
      </w:pPr>
      <w:r w:rsidRPr="00AC533A">
        <w:rPr>
          <w:rFonts w:ascii="Arial" w:hAnsi="Arial" w:cs="Arial"/>
          <w:sz w:val="20"/>
          <w:szCs w:val="20"/>
        </w:rPr>
        <w:t>La tendencia a nivel mundial y en los países de la Región de América Latina y el Caribe, es mejorar las estructuras organizacionales diferenciando las actividades de la pesca y de la acuicultura, en el entendimiento que por parte de la pesca extractiva se busca la adecuada administración, manejo y regulación de los recursos pesqueros de manera sostenible y por el otro lado, respecto a la acuicultura se busca su expansión y desarrollo como la mejor alternativa de producción de alimentos de alta calidad, generadora de empleo e ingresos y como actividad que contribuye con la seguridad alimentaria de la población; siendo esta actividad ligada al cultivo de especies hidrobiológicas cuyo proceso de desarrollo dista mucho de la extracción o actividades de pesca ya sea artesanal e industrial.</w:t>
      </w:r>
    </w:p>
    <w:p w:rsidR="00B4009D" w:rsidRPr="00AC533A" w:rsidRDefault="00B4009D" w:rsidP="004C1928">
      <w:pPr>
        <w:spacing w:after="0" w:line="240" w:lineRule="auto"/>
        <w:jc w:val="both"/>
        <w:rPr>
          <w:rFonts w:ascii="Arial" w:hAnsi="Arial" w:cs="Arial"/>
          <w:sz w:val="16"/>
          <w:szCs w:val="16"/>
        </w:rPr>
      </w:pPr>
    </w:p>
    <w:p w:rsidR="00B4009D" w:rsidRPr="00AC533A" w:rsidRDefault="00B4009D" w:rsidP="000B0405">
      <w:pPr>
        <w:pStyle w:val="ListParagraph"/>
        <w:numPr>
          <w:ilvl w:val="0"/>
          <w:numId w:val="1"/>
        </w:numPr>
        <w:spacing w:after="0" w:line="240" w:lineRule="auto"/>
        <w:ind w:left="364"/>
        <w:jc w:val="both"/>
        <w:rPr>
          <w:rFonts w:ascii="Arial" w:hAnsi="Arial" w:cs="Arial"/>
          <w:b/>
          <w:bCs/>
          <w:sz w:val="20"/>
          <w:szCs w:val="20"/>
          <w:lang w:val="es-PE"/>
        </w:rPr>
      </w:pPr>
      <w:r w:rsidRPr="00AC533A">
        <w:rPr>
          <w:rFonts w:ascii="Arial" w:hAnsi="Arial" w:cs="Arial"/>
          <w:b/>
          <w:bCs/>
          <w:sz w:val="20"/>
          <w:szCs w:val="20"/>
          <w:lang w:val="es-PE"/>
        </w:rPr>
        <w:t>LA ACUICULTURA PERUANA Y SU ESTRUCTURA ORGANIZATIVA</w:t>
      </w:r>
    </w:p>
    <w:p w:rsidR="00B4009D" w:rsidRPr="00AC533A" w:rsidRDefault="00B4009D" w:rsidP="004C1928">
      <w:pPr>
        <w:spacing w:after="0" w:line="240" w:lineRule="auto"/>
        <w:jc w:val="both"/>
        <w:rPr>
          <w:rFonts w:ascii="Arial" w:hAnsi="Arial" w:cs="Arial"/>
          <w:sz w:val="16"/>
          <w:szCs w:val="16"/>
        </w:rPr>
      </w:pPr>
    </w:p>
    <w:p w:rsidR="00B4009D" w:rsidRPr="00AC533A" w:rsidRDefault="00B4009D" w:rsidP="00622978">
      <w:pPr>
        <w:spacing w:after="0" w:line="240" w:lineRule="auto"/>
        <w:jc w:val="both"/>
        <w:rPr>
          <w:rFonts w:ascii="Arial" w:hAnsi="Arial" w:cs="Arial"/>
          <w:sz w:val="20"/>
          <w:szCs w:val="20"/>
          <w:lang w:val="es-PE"/>
        </w:rPr>
      </w:pPr>
      <w:r w:rsidRPr="00AC533A">
        <w:rPr>
          <w:rFonts w:ascii="Arial" w:hAnsi="Arial" w:cs="Arial"/>
          <w:sz w:val="20"/>
          <w:szCs w:val="20"/>
          <w:lang w:val="es-PE"/>
        </w:rPr>
        <w:t>La acuicultura en el Perú, se encuentra actualmente en una etapa emergente, donde vienen destacando en producción especies como la concha de abanico, langostino, trucha, tilapia, gamitana, paiche y algunas otras especies alcanzando las 92 mil TM para el año 2011, con un valor total de 316.19 millones de dólares americanos y la misma que ha venido creciendo a una tasa de 20% desde el año 2000. Debe señalarse que la institucionalidad existente ha podido contribuir con ello. Se debe mencionar que la legislación peruana reconoce la diferenciación, especialización y procesos de desarrollo tanto de las actividades de pesca (industrial y artesanal) - y la acuicultura, a través de la Ley General de Pesca (Decreto Ley N° 25977) y la Ley de Promoción y Desarrollo de la Acuicultura (Ley N° 27460) respectivamente, esta última surgida por la necesidad de diferenciar la actividad de la acuicultura con respecto a la pesca, por ser diferentes en su concepción y para brindarle el impulso específico a la acuicultura.</w:t>
      </w:r>
    </w:p>
    <w:p w:rsidR="00B4009D" w:rsidRPr="00AC533A" w:rsidRDefault="00B4009D" w:rsidP="004C1928">
      <w:pPr>
        <w:spacing w:after="0" w:line="240" w:lineRule="auto"/>
        <w:jc w:val="both"/>
        <w:rPr>
          <w:rFonts w:ascii="Arial" w:hAnsi="Arial" w:cs="Arial"/>
          <w:sz w:val="16"/>
          <w:szCs w:val="16"/>
          <w:lang w:val="es-PE"/>
        </w:rPr>
      </w:pPr>
    </w:p>
    <w:p w:rsidR="00B4009D" w:rsidRPr="00AC533A" w:rsidRDefault="00B4009D" w:rsidP="00BA1743">
      <w:pPr>
        <w:spacing w:after="0" w:line="240" w:lineRule="auto"/>
        <w:jc w:val="both"/>
        <w:rPr>
          <w:rFonts w:ascii="Arial" w:hAnsi="Arial" w:cs="Arial"/>
          <w:sz w:val="20"/>
          <w:szCs w:val="20"/>
          <w:lang w:val="es-PE"/>
        </w:rPr>
      </w:pPr>
      <w:r w:rsidRPr="00AC533A">
        <w:rPr>
          <w:rFonts w:ascii="Arial" w:hAnsi="Arial" w:cs="Arial"/>
          <w:sz w:val="20"/>
          <w:szCs w:val="20"/>
          <w:lang w:val="es-PE"/>
        </w:rPr>
        <w:t>En los últimos años (desde el 2009), se vienen diseñando y sentando las bases de desarrollo e impulso de la acuicultura, las cuales están referidas a la gestión y planificación del desarrollo de esta actividad a mediano y largo plazo incluyendo la investigación y desarrollo tecnológico; para ello fue establecido el Plan Nacional de Desarrollo Acuícola 2010 - 2021 (PNDA) el cual fue aprobado por el Decreto Supremo N° 001-2010-PRODUCE como la política sectorial para el desarrollo sostenible de la acuicultura peruana. Sobre ésta base, a nivel Ministerial se adoptó el referido PNDA como uno de los objetivos principales en el PESEM 2012 – 2016 (Objetivo N° 2) y en el marco de su implementación se viene priorizando el tema de investigación y desarrollo tecnológico a través de la formulación del Programa Nacional de Ciencia, Desarrollo Tecnológico e Innovación en Acuicultura con la colaboración de la FAO y CONCYTEC; sin embargo en medio de éste proceso y en merito a lo indicado por la Organización de las Naciones Unidas para la Acuicultura y la Alimentación (FAO) en la Estrategia Nacional para la Acuicultura (Proyecto TCP/PER/3101) se brindaron recomendaciones para la reestructuración de la Dirección General de Acuicultura, a fin de que su estructura contribuya con una adecuada implementación de las políticas de desarrollo, la gestión y planificación de la acuicultura peruana.</w:t>
      </w:r>
    </w:p>
    <w:p w:rsidR="00B4009D" w:rsidRPr="00AC533A" w:rsidRDefault="00B4009D" w:rsidP="004C1928">
      <w:pPr>
        <w:spacing w:after="0" w:line="240" w:lineRule="auto"/>
        <w:jc w:val="both"/>
        <w:rPr>
          <w:rFonts w:ascii="Arial" w:hAnsi="Arial" w:cs="Arial"/>
          <w:sz w:val="16"/>
          <w:szCs w:val="16"/>
          <w:lang w:val="es-PE"/>
        </w:rPr>
      </w:pPr>
    </w:p>
    <w:p w:rsidR="00B4009D" w:rsidRPr="00AC533A" w:rsidRDefault="00B4009D" w:rsidP="00FB0445">
      <w:pPr>
        <w:spacing w:after="0" w:line="240" w:lineRule="auto"/>
        <w:jc w:val="both"/>
        <w:rPr>
          <w:rFonts w:ascii="Arial" w:hAnsi="Arial" w:cs="Arial"/>
          <w:sz w:val="20"/>
          <w:szCs w:val="20"/>
          <w:lang w:val="es-PE"/>
        </w:rPr>
      </w:pPr>
      <w:r w:rsidRPr="00AC533A">
        <w:rPr>
          <w:rFonts w:ascii="Arial" w:hAnsi="Arial" w:cs="Arial"/>
          <w:sz w:val="20"/>
          <w:szCs w:val="20"/>
          <w:lang w:val="es-PE"/>
        </w:rPr>
        <w:t xml:space="preserve">En ese sentido, la Dirección General de Acuicultura (DGA), actualmente como órgano técnico, normativo y promotor de la acuicultura nacional, siguiendo lo indicado por la FAO, plantea que la gestión de la DGA para la acuicultura nacional debe enfocar sus esfuerzos en el marco de dos acciones específicas, una orientada al ordenamiento y administración de la acuicultura y otra que corresponde a la promoción y desarrollo de dicha actividad; ello brindaría el equilibrio adecuado para la realización de funciones específicas que contribuyan con el ordenamiento y desarrollo de la acuicultura; asimismo, teniendo en cuenta el Plan Nacional de Desarrollo Acuícola – PNDA como política sectorial para la acuicultura y con la finalidad de impulsar de manera adecuada la gestión de la acuicultura nacional, es necesaria la reestructuración organizacional de la DGA estableciendo nuevas Unidades Orgánicas de las cuales una se encargue de todos los aspectos de Ordenamiento y Administración de la Acuicultura y la otra de la Promoción y Desarrollo de la Acuicultura como los procesos identificados de la actividad de acuicultura, pero siempre integrados en una Dirección General responsable específicamente de los temas de la acuicultura, ello permitiría lograr una atención eficiente y duradera en la implementación del Plan Nacional (PNDA), así como del PESEM del PRODUCE. </w:t>
      </w:r>
      <w:r w:rsidRPr="00AC533A">
        <w:rPr>
          <w:rFonts w:ascii="Arial" w:hAnsi="Arial" w:cs="Arial"/>
          <w:sz w:val="20"/>
          <w:szCs w:val="20"/>
        </w:rPr>
        <w:t>La propuesta de estructura organizacional planteada tiene una estructura orientada a acciones proactivas del Sub Sector Acuicultura.</w:t>
      </w:r>
    </w:p>
    <w:p w:rsidR="00B4009D" w:rsidRPr="00AC533A" w:rsidRDefault="00B4009D" w:rsidP="00AE6595">
      <w:pPr>
        <w:spacing w:before="120" w:after="120" w:line="240" w:lineRule="auto"/>
        <w:jc w:val="both"/>
        <w:rPr>
          <w:rFonts w:ascii="Arial" w:hAnsi="Arial" w:cs="Arial"/>
          <w:b/>
          <w:bCs/>
          <w:sz w:val="20"/>
          <w:szCs w:val="20"/>
          <w:u w:val="single"/>
        </w:rPr>
      </w:pPr>
      <w:r w:rsidRPr="00AC533A">
        <w:rPr>
          <w:rFonts w:ascii="Arial" w:hAnsi="Arial" w:cs="Arial"/>
          <w:b/>
          <w:bCs/>
          <w:sz w:val="20"/>
          <w:szCs w:val="20"/>
          <w:u w:val="single"/>
        </w:rPr>
        <w:t>Propuesta de estructura organizacional de la DGA</w:t>
      </w:r>
    </w:p>
    <w:p w:rsidR="00B4009D" w:rsidRPr="00F70DB0" w:rsidRDefault="00B4009D" w:rsidP="00AC533A">
      <w:pPr>
        <w:pStyle w:val="ListParagraph"/>
        <w:spacing w:before="240" w:after="240" w:line="240" w:lineRule="auto"/>
        <w:ind w:left="709"/>
        <w:jc w:val="center"/>
        <w:rPr>
          <w:sz w:val="19"/>
          <w:szCs w:val="19"/>
        </w:rPr>
      </w:pPr>
      <w:r w:rsidRPr="009D5EC9">
        <w:rPr>
          <w:noProof/>
          <w:sz w:val="19"/>
          <w:szCs w:val="19"/>
          <w:lang w:eastAsia="es-ES"/>
        </w:rPr>
        <w:pict>
          <v:shape id="Diagrama 2" o:spid="_x0000_i1026" type="#_x0000_t75" style="width:268.5pt;height:75pt;visibility:visible">
            <v:imagedata r:id="rId12" o:title="" cropbottom="-245f"/>
            <o:lock v:ext="edit" aspectratio="f"/>
          </v:shape>
        </w:pict>
      </w:r>
    </w:p>
    <w:p w:rsidR="00B4009D" w:rsidRPr="00AC533A" w:rsidRDefault="00B4009D" w:rsidP="00E94B02">
      <w:pPr>
        <w:pStyle w:val="ListParagraph"/>
        <w:numPr>
          <w:ilvl w:val="0"/>
          <w:numId w:val="1"/>
        </w:numPr>
        <w:spacing w:after="0" w:line="240" w:lineRule="auto"/>
        <w:ind w:left="364"/>
        <w:jc w:val="both"/>
        <w:rPr>
          <w:rFonts w:ascii="Arial" w:hAnsi="Arial" w:cs="Arial"/>
          <w:b/>
          <w:bCs/>
          <w:sz w:val="20"/>
          <w:szCs w:val="20"/>
          <w:lang w:val="es-PE"/>
        </w:rPr>
      </w:pPr>
      <w:r w:rsidRPr="00AC533A">
        <w:rPr>
          <w:rFonts w:ascii="Arial" w:hAnsi="Arial" w:cs="Arial"/>
          <w:b/>
          <w:bCs/>
          <w:sz w:val="20"/>
          <w:szCs w:val="20"/>
          <w:lang w:val="es-PE"/>
        </w:rPr>
        <w:t>BENEFICIOS DE LA NUEVA ESTRUCTURA PARA EL PAÍS</w:t>
      </w:r>
    </w:p>
    <w:p w:rsidR="00B4009D" w:rsidRPr="00AC533A" w:rsidRDefault="00B4009D" w:rsidP="004C1928">
      <w:pPr>
        <w:spacing w:after="0" w:line="240" w:lineRule="auto"/>
        <w:rPr>
          <w:rFonts w:ascii="Arial" w:hAnsi="Arial" w:cs="Arial"/>
          <w:sz w:val="16"/>
          <w:szCs w:val="16"/>
          <w:lang w:val="es-PE"/>
        </w:rPr>
      </w:pPr>
    </w:p>
    <w:p w:rsidR="00B4009D" w:rsidRPr="00AC533A" w:rsidRDefault="00B4009D" w:rsidP="000D1001">
      <w:pPr>
        <w:spacing w:after="0" w:line="240" w:lineRule="auto"/>
        <w:jc w:val="both"/>
        <w:rPr>
          <w:rFonts w:ascii="Arial" w:hAnsi="Arial" w:cs="Arial"/>
          <w:sz w:val="20"/>
          <w:szCs w:val="20"/>
          <w:lang w:val="es-PE"/>
        </w:rPr>
      </w:pPr>
      <w:r w:rsidRPr="00AC533A">
        <w:rPr>
          <w:rFonts w:ascii="Arial" w:hAnsi="Arial" w:cs="Arial"/>
          <w:sz w:val="20"/>
          <w:szCs w:val="20"/>
          <w:lang w:val="es-PE"/>
        </w:rPr>
        <w:t>Se consideran los siguientes beneficios de la estructura planteada:</w:t>
      </w:r>
    </w:p>
    <w:p w:rsidR="00B4009D" w:rsidRPr="00AC533A" w:rsidRDefault="00B4009D" w:rsidP="000D1001">
      <w:pPr>
        <w:pStyle w:val="ListParagraph"/>
        <w:numPr>
          <w:ilvl w:val="0"/>
          <w:numId w:val="2"/>
        </w:numPr>
        <w:spacing w:after="0" w:line="240" w:lineRule="auto"/>
        <w:ind w:left="284" w:hanging="284"/>
        <w:jc w:val="both"/>
        <w:rPr>
          <w:rFonts w:ascii="Arial" w:hAnsi="Arial" w:cs="Arial"/>
          <w:sz w:val="20"/>
          <w:szCs w:val="20"/>
          <w:lang w:val="es-PE"/>
        </w:rPr>
      </w:pPr>
      <w:r w:rsidRPr="00AC533A">
        <w:rPr>
          <w:rFonts w:ascii="Arial" w:hAnsi="Arial" w:cs="Arial"/>
          <w:sz w:val="20"/>
          <w:szCs w:val="20"/>
          <w:lang w:val="es-PE"/>
        </w:rPr>
        <w:t>Liderar el desarrollo sustentable de la acuicultura peruana</w:t>
      </w:r>
    </w:p>
    <w:p w:rsidR="00B4009D" w:rsidRPr="00AC533A" w:rsidRDefault="00B4009D" w:rsidP="000D1001">
      <w:pPr>
        <w:pStyle w:val="ListParagraph"/>
        <w:numPr>
          <w:ilvl w:val="0"/>
          <w:numId w:val="2"/>
        </w:numPr>
        <w:spacing w:after="0" w:line="240" w:lineRule="auto"/>
        <w:ind w:left="284" w:hanging="284"/>
        <w:jc w:val="both"/>
        <w:rPr>
          <w:rFonts w:ascii="Arial" w:hAnsi="Arial" w:cs="Arial"/>
          <w:sz w:val="20"/>
          <w:szCs w:val="20"/>
          <w:lang w:val="es-PE"/>
        </w:rPr>
      </w:pPr>
      <w:r w:rsidRPr="00AC533A">
        <w:rPr>
          <w:rFonts w:ascii="Arial" w:hAnsi="Arial" w:cs="Arial"/>
          <w:sz w:val="20"/>
          <w:szCs w:val="20"/>
          <w:lang w:val="es-PE"/>
        </w:rPr>
        <w:t>Implementar adecuadamente en coordinación con las diferentes instituciones públicas y privadas, las diversas acciones que establece el Plan Nacional de Desarrollo Acuícola 2010 – 2021.</w:t>
      </w:r>
    </w:p>
    <w:p w:rsidR="00B4009D" w:rsidRPr="00AC533A" w:rsidRDefault="00B4009D" w:rsidP="000D1001">
      <w:pPr>
        <w:pStyle w:val="ListParagraph"/>
        <w:numPr>
          <w:ilvl w:val="0"/>
          <w:numId w:val="2"/>
        </w:numPr>
        <w:spacing w:after="0" w:line="240" w:lineRule="auto"/>
        <w:ind w:left="284" w:hanging="284"/>
        <w:jc w:val="both"/>
        <w:rPr>
          <w:rFonts w:ascii="Arial" w:hAnsi="Arial" w:cs="Arial"/>
          <w:sz w:val="20"/>
          <w:szCs w:val="20"/>
          <w:lang w:val="es-PE"/>
        </w:rPr>
      </w:pPr>
      <w:r w:rsidRPr="00AC533A">
        <w:rPr>
          <w:rFonts w:ascii="Arial" w:hAnsi="Arial" w:cs="Arial"/>
          <w:sz w:val="20"/>
          <w:szCs w:val="20"/>
          <w:lang w:val="es-PE"/>
        </w:rPr>
        <w:t>Liderar la implementación y cumplimiento eficiente del Objetivo N° 2 “</w:t>
      </w:r>
      <w:r w:rsidRPr="00AC533A">
        <w:rPr>
          <w:rFonts w:ascii="Arial" w:hAnsi="Arial" w:cs="Arial"/>
          <w:i/>
          <w:iCs/>
          <w:sz w:val="20"/>
          <w:szCs w:val="20"/>
          <w:lang w:val="es-PE"/>
        </w:rPr>
        <w:t>Fortalecer el ordenamiento y desarrollo competitivo de la acuicultura</w:t>
      </w:r>
      <w:r w:rsidRPr="00AC533A">
        <w:rPr>
          <w:rFonts w:ascii="Arial" w:hAnsi="Arial" w:cs="Arial"/>
          <w:sz w:val="20"/>
          <w:szCs w:val="20"/>
          <w:lang w:val="es-PE"/>
        </w:rPr>
        <w:t>” del PESEM 2012 -2016</w:t>
      </w:r>
    </w:p>
    <w:p w:rsidR="00B4009D" w:rsidRPr="00AC533A" w:rsidRDefault="00B4009D" w:rsidP="00B20269">
      <w:pPr>
        <w:pStyle w:val="ListParagraph"/>
        <w:numPr>
          <w:ilvl w:val="0"/>
          <w:numId w:val="2"/>
        </w:numPr>
        <w:spacing w:after="0" w:line="240" w:lineRule="auto"/>
        <w:ind w:left="284" w:hanging="284"/>
        <w:jc w:val="both"/>
        <w:rPr>
          <w:rFonts w:ascii="Arial" w:hAnsi="Arial" w:cs="Arial"/>
          <w:sz w:val="20"/>
          <w:szCs w:val="20"/>
          <w:lang w:val="es-PE"/>
        </w:rPr>
      </w:pPr>
      <w:r w:rsidRPr="00AC533A">
        <w:rPr>
          <w:rFonts w:ascii="Arial" w:hAnsi="Arial" w:cs="Arial"/>
          <w:sz w:val="20"/>
          <w:szCs w:val="20"/>
          <w:lang w:val="es-PE"/>
        </w:rPr>
        <w:t>Liderar y planificar adecuadamente en coordinación con las diferentes dependencias y Organismos Públicos del Sector, la gestión y ejecución del PpR “</w:t>
      </w:r>
      <w:r w:rsidRPr="00AC533A">
        <w:rPr>
          <w:rFonts w:ascii="Arial" w:hAnsi="Arial" w:cs="Arial"/>
          <w:i/>
          <w:iCs/>
          <w:sz w:val="20"/>
          <w:szCs w:val="20"/>
          <w:lang w:val="es-PE"/>
        </w:rPr>
        <w:t>Ordenamiento y Desarrollo de la Acuicultura 2012 – 2016</w:t>
      </w:r>
      <w:r w:rsidRPr="00AC533A">
        <w:rPr>
          <w:rFonts w:ascii="Arial" w:hAnsi="Arial" w:cs="Arial"/>
          <w:sz w:val="20"/>
          <w:szCs w:val="20"/>
          <w:lang w:val="es-PE"/>
        </w:rPr>
        <w:t>”</w:t>
      </w:r>
    </w:p>
    <w:p w:rsidR="00B4009D" w:rsidRPr="00AC533A" w:rsidRDefault="00B4009D" w:rsidP="000D1001">
      <w:pPr>
        <w:pStyle w:val="ListParagraph"/>
        <w:numPr>
          <w:ilvl w:val="0"/>
          <w:numId w:val="2"/>
        </w:numPr>
        <w:spacing w:after="0" w:line="240" w:lineRule="auto"/>
        <w:ind w:left="284" w:hanging="284"/>
        <w:jc w:val="both"/>
        <w:rPr>
          <w:rFonts w:ascii="Arial" w:hAnsi="Arial" w:cs="Arial"/>
          <w:sz w:val="20"/>
          <w:szCs w:val="20"/>
          <w:lang w:val="es-PE"/>
        </w:rPr>
      </w:pPr>
      <w:r w:rsidRPr="00AC533A">
        <w:rPr>
          <w:rFonts w:ascii="Arial" w:hAnsi="Arial" w:cs="Arial"/>
          <w:sz w:val="20"/>
          <w:szCs w:val="20"/>
          <w:lang w:val="es-PE"/>
        </w:rPr>
        <w:t>Garantizar el cumplimiento de las políticas sectoriales de competencia del Ministerio de la Producción referidas a la acuicultura de mayor escala y definidas en la Ley Orgánica de Funciones del Ministerio de la Producción (Decreto Legislativo N° 1047).</w:t>
      </w:r>
    </w:p>
    <w:p w:rsidR="00B4009D" w:rsidRPr="00AC533A" w:rsidRDefault="00B4009D" w:rsidP="000D1001">
      <w:pPr>
        <w:pStyle w:val="ListParagraph"/>
        <w:numPr>
          <w:ilvl w:val="0"/>
          <w:numId w:val="2"/>
        </w:numPr>
        <w:spacing w:after="0" w:line="240" w:lineRule="auto"/>
        <w:ind w:left="284" w:hanging="284"/>
        <w:jc w:val="both"/>
        <w:rPr>
          <w:rFonts w:ascii="Arial" w:hAnsi="Arial" w:cs="Arial"/>
          <w:sz w:val="20"/>
          <w:szCs w:val="20"/>
          <w:lang w:val="es-PE"/>
        </w:rPr>
      </w:pPr>
      <w:r w:rsidRPr="00AC533A">
        <w:rPr>
          <w:rFonts w:ascii="Arial" w:hAnsi="Arial" w:cs="Arial"/>
          <w:sz w:val="20"/>
          <w:szCs w:val="20"/>
          <w:lang w:val="es-PE"/>
        </w:rPr>
        <w:t>Articular de mejor manera las gestiones y dialogo intersectorial para la ordenación de la acuicultura.</w:t>
      </w:r>
    </w:p>
    <w:p w:rsidR="00B4009D" w:rsidRPr="00AC533A" w:rsidRDefault="00B4009D" w:rsidP="000D1001">
      <w:pPr>
        <w:pStyle w:val="ListParagraph"/>
        <w:numPr>
          <w:ilvl w:val="0"/>
          <w:numId w:val="2"/>
        </w:numPr>
        <w:spacing w:after="0" w:line="240" w:lineRule="auto"/>
        <w:ind w:left="284" w:hanging="284"/>
        <w:jc w:val="both"/>
        <w:rPr>
          <w:rFonts w:ascii="Arial" w:hAnsi="Arial" w:cs="Arial"/>
          <w:sz w:val="20"/>
          <w:szCs w:val="20"/>
          <w:lang w:val="es-PE"/>
        </w:rPr>
      </w:pPr>
      <w:r w:rsidRPr="00AC533A">
        <w:rPr>
          <w:rFonts w:ascii="Arial" w:hAnsi="Arial" w:cs="Arial"/>
          <w:sz w:val="20"/>
          <w:szCs w:val="20"/>
          <w:lang w:val="es-PE"/>
        </w:rPr>
        <w:t>Articular de manera específica la gestión y desarrollo de la acuicultura con los Gobiernos Regionales, favoreciendo el ordenamiento y promoción de la actividad.</w:t>
      </w:r>
    </w:p>
    <w:p w:rsidR="00B4009D" w:rsidRPr="00AC533A" w:rsidRDefault="00B4009D" w:rsidP="00B20269">
      <w:pPr>
        <w:pStyle w:val="ListParagraph"/>
        <w:numPr>
          <w:ilvl w:val="0"/>
          <w:numId w:val="2"/>
        </w:numPr>
        <w:spacing w:after="0" w:line="240" w:lineRule="auto"/>
        <w:ind w:left="284" w:hanging="284"/>
        <w:jc w:val="both"/>
        <w:rPr>
          <w:rFonts w:ascii="Arial" w:hAnsi="Arial" w:cs="Arial"/>
          <w:sz w:val="20"/>
          <w:szCs w:val="20"/>
          <w:lang w:val="es-PE"/>
        </w:rPr>
      </w:pPr>
      <w:r w:rsidRPr="00AC533A">
        <w:rPr>
          <w:rFonts w:ascii="Arial" w:hAnsi="Arial" w:cs="Arial"/>
          <w:sz w:val="20"/>
          <w:szCs w:val="20"/>
          <w:lang w:val="es-PE"/>
        </w:rPr>
        <w:t>Orientar la priorización de investigaciones y desarrollo tecnológico de la acuicultura con los Organismos Públicos del Sector</w:t>
      </w:r>
    </w:p>
    <w:p w:rsidR="00B4009D" w:rsidRPr="00AC533A" w:rsidRDefault="00B4009D" w:rsidP="000D1001">
      <w:pPr>
        <w:pStyle w:val="ListParagraph"/>
        <w:numPr>
          <w:ilvl w:val="0"/>
          <w:numId w:val="2"/>
        </w:numPr>
        <w:spacing w:after="0" w:line="240" w:lineRule="auto"/>
        <w:ind w:left="284" w:hanging="284"/>
        <w:jc w:val="both"/>
        <w:rPr>
          <w:rFonts w:ascii="Arial" w:hAnsi="Arial" w:cs="Arial"/>
          <w:sz w:val="20"/>
          <w:szCs w:val="20"/>
          <w:lang w:val="es-PE"/>
        </w:rPr>
      </w:pPr>
      <w:r w:rsidRPr="00AC533A">
        <w:rPr>
          <w:rFonts w:ascii="Arial" w:hAnsi="Arial" w:cs="Arial"/>
          <w:sz w:val="20"/>
          <w:szCs w:val="20"/>
          <w:lang w:val="es-PE"/>
        </w:rPr>
        <w:t>Mantener el nivel de representatividad y nivel de decisión con sus pares internacionales en las diversas reuniones en las que viene participando en temas específicos de gestión, desarrollo y expansión de la acuicultura a nivel Regional (COPESCAALC, RAA, FAO)</w:t>
      </w:r>
      <w:r w:rsidRPr="00AC533A">
        <w:rPr>
          <w:rStyle w:val="FootnoteReference"/>
          <w:rFonts w:ascii="Arial" w:hAnsi="Arial" w:cs="Arial"/>
          <w:sz w:val="20"/>
          <w:szCs w:val="20"/>
          <w:lang w:val="es-PE"/>
        </w:rPr>
        <w:footnoteReference w:id="5"/>
      </w:r>
      <w:r w:rsidRPr="00AC533A">
        <w:rPr>
          <w:rFonts w:ascii="Arial" w:hAnsi="Arial" w:cs="Arial"/>
          <w:sz w:val="20"/>
          <w:szCs w:val="20"/>
          <w:lang w:val="es-PE"/>
        </w:rPr>
        <w:t>.</w:t>
      </w:r>
    </w:p>
    <w:p w:rsidR="00B4009D" w:rsidRPr="00AC533A" w:rsidRDefault="00B4009D" w:rsidP="000D1001">
      <w:pPr>
        <w:spacing w:after="0" w:line="240" w:lineRule="auto"/>
        <w:jc w:val="both"/>
        <w:rPr>
          <w:rFonts w:ascii="Arial" w:hAnsi="Arial" w:cs="Arial"/>
          <w:sz w:val="16"/>
          <w:szCs w:val="16"/>
          <w:lang w:val="es-PE"/>
        </w:rPr>
      </w:pPr>
    </w:p>
    <w:p w:rsidR="00B4009D" w:rsidRPr="00AC533A" w:rsidRDefault="00B4009D" w:rsidP="00292A03">
      <w:pPr>
        <w:spacing w:after="0" w:line="240" w:lineRule="auto"/>
        <w:jc w:val="both"/>
        <w:rPr>
          <w:rFonts w:ascii="Arial" w:hAnsi="Arial" w:cs="Arial"/>
          <w:sz w:val="20"/>
          <w:szCs w:val="20"/>
          <w:lang w:val="es-PE"/>
        </w:rPr>
      </w:pPr>
      <w:r w:rsidRPr="00AC533A">
        <w:rPr>
          <w:rFonts w:ascii="Arial" w:hAnsi="Arial" w:cs="Arial"/>
          <w:sz w:val="20"/>
          <w:szCs w:val="20"/>
          <w:lang w:val="es-PE"/>
        </w:rPr>
        <w:t>Finalmente, es importante mencionar que Brasil, Chile y Ecuador han tenido crecimientos importantes para la actividad de acuicultura debido a sus políticas y el soporte institucional que diferencia los procesos de la acuicultura y la pesca (industrial y artesanal), permitiéndoles impulsar la actividad acuícola. Es de resaltar que Perú recientemente ha establecido sus políticas de desarrollo para la acuicultura y su impacto viene observándose en el crecimiento de la producción y comercialización acuícola.</w:t>
      </w:r>
    </w:p>
    <w:p w:rsidR="00B4009D" w:rsidRPr="00AC533A" w:rsidRDefault="00B4009D" w:rsidP="00292A03">
      <w:pPr>
        <w:spacing w:after="0" w:line="240" w:lineRule="auto"/>
        <w:jc w:val="both"/>
        <w:rPr>
          <w:rFonts w:ascii="Arial" w:hAnsi="Arial" w:cs="Arial"/>
          <w:sz w:val="16"/>
          <w:szCs w:val="16"/>
          <w:lang w:val="es-PE"/>
        </w:rPr>
      </w:pPr>
    </w:p>
    <w:p w:rsidR="00B4009D" w:rsidRPr="00AC533A" w:rsidRDefault="00B4009D" w:rsidP="00292A03">
      <w:pPr>
        <w:spacing w:after="0" w:line="240" w:lineRule="auto"/>
        <w:jc w:val="both"/>
        <w:rPr>
          <w:rFonts w:ascii="Arial" w:hAnsi="Arial" w:cs="Arial"/>
          <w:sz w:val="20"/>
          <w:szCs w:val="20"/>
          <w:lang w:val="es-PE"/>
        </w:rPr>
      </w:pPr>
      <w:r w:rsidRPr="00AC533A">
        <w:rPr>
          <w:rFonts w:ascii="Arial" w:hAnsi="Arial" w:cs="Arial"/>
          <w:sz w:val="20"/>
          <w:szCs w:val="20"/>
          <w:lang w:val="es-PE"/>
        </w:rPr>
        <w:t>Por lo expuesto, se debe mantener la Dirección General de Acuicultura en la estructura del Viceministerio de Pesquería, el cual debería denominarse Viceministerio de Pesquería y Acuicultura.</w:t>
      </w:r>
    </w:p>
    <w:sectPr w:rsidR="00B4009D" w:rsidRPr="00AC533A" w:rsidSect="00AC533A">
      <w:pgSz w:w="11907" w:h="16840"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09D" w:rsidRDefault="00B4009D" w:rsidP="00247D7D">
      <w:pPr>
        <w:spacing w:after="0" w:line="240" w:lineRule="auto"/>
      </w:pPr>
      <w:r>
        <w:separator/>
      </w:r>
    </w:p>
  </w:endnote>
  <w:endnote w:type="continuationSeparator" w:id="1">
    <w:p w:rsidR="00B4009D" w:rsidRDefault="00B4009D" w:rsidP="00247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09D" w:rsidRDefault="00B4009D" w:rsidP="00247D7D">
      <w:pPr>
        <w:spacing w:after="0" w:line="240" w:lineRule="auto"/>
      </w:pPr>
      <w:r>
        <w:separator/>
      </w:r>
    </w:p>
  </w:footnote>
  <w:footnote w:type="continuationSeparator" w:id="1">
    <w:p w:rsidR="00B4009D" w:rsidRDefault="00B4009D" w:rsidP="00247D7D">
      <w:pPr>
        <w:spacing w:after="0" w:line="240" w:lineRule="auto"/>
      </w:pPr>
      <w:r>
        <w:continuationSeparator/>
      </w:r>
    </w:p>
  </w:footnote>
  <w:footnote w:id="2">
    <w:p w:rsidR="00B4009D" w:rsidRDefault="00B4009D" w:rsidP="000A1ECC">
      <w:pPr>
        <w:pStyle w:val="FootnoteText"/>
        <w:rPr>
          <w:rFonts w:cs="Times New Roman"/>
        </w:rPr>
      </w:pPr>
      <w:r w:rsidRPr="00600520">
        <w:rPr>
          <w:rStyle w:val="FootnoteReference"/>
          <w:rFonts w:ascii="Calibri" w:hAnsi="Calibri" w:cs="Calibri"/>
          <w:sz w:val="18"/>
          <w:szCs w:val="18"/>
        </w:rPr>
        <w:footnoteRef/>
      </w:r>
      <w:r w:rsidRPr="00600520">
        <w:rPr>
          <w:rFonts w:ascii="Calibri" w:hAnsi="Calibri" w:cs="Calibri"/>
          <w:sz w:val="18"/>
          <w:szCs w:val="18"/>
        </w:rPr>
        <w:t xml:space="preserve"> </w:t>
      </w:r>
      <w:r w:rsidRPr="00600520">
        <w:rPr>
          <w:rFonts w:ascii="Calibri" w:hAnsi="Calibri" w:cs="Calibri"/>
          <w:sz w:val="18"/>
          <w:szCs w:val="18"/>
          <w:lang w:val="es-PE"/>
        </w:rPr>
        <w:t>La tasa de crecimiento avícola, porcino y ovino fue tomada de la base de datos de la FAO</w:t>
      </w:r>
    </w:p>
  </w:footnote>
  <w:footnote w:id="3">
    <w:p w:rsidR="00B4009D" w:rsidRDefault="00B4009D">
      <w:pPr>
        <w:pStyle w:val="FootnoteText"/>
        <w:rPr>
          <w:rFonts w:cs="Times New Roman"/>
        </w:rPr>
      </w:pPr>
      <w:r w:rsidRPr="00725DE3">
        <w:rPr>
          <w:rStyle w:val="FootnoteReference"/>
          <w:rFonts w:ascii="Calibri" w:hAnsi="Calibri" w:cs="Calibri"/>
        </w:rPr>
        <w:footnoteRef/>
      </w:r>
      <w:r w:rsidRPr="00725DE3">
        <w:rPr>
          <w:rFonts w:ascii="Calibri" w:hAnsi="Calibri" w:cs="Calibri"/>
        </w:rPr>
        <w:t xml:space="preserve"> </w:t>
      </w:r>
      <w:hyperlink r:id="rId1" w:history="1">
        <w:r w:rsidRPr="00725DE3">
          <w:rPr>
            <w:rStyle w:val="Hyperlink"/>
            <w:rFonts w:ascii="Calibri" w:hAnsi="Calibri" w:cs="Calibri"/>
          </w:rPr>
          <w:t>http://www.camara.cl/prensa/noticias_detalle.aspx?prmid=49491</w:t>
        </w:r>
      </w:hyperlink>
    </w:p>
  </w:footnote>
  <w:footnote w:id="4">
    <w:p w:rsidR="00B4009D" w:rsidRDefault="00B4009D">
      <w:pPr>
        <w:pStyle w:val="FootnoteText"/>
        <w:rPr>
          <w:rFonts w:cs="Times New Roman"/>
        </w:rPr>
      </w:pPr>
      <w:r w:rsidRPr="00714F72">
        <w:rPr>
          <w:rStyle w:val="FootnoteReference"/>
          <w:rFonts w:ascii="Calibri" w:hAnsi="Calibri" w:cs="Calibri"/>
        </w:rPr>
        <w:footnoteRef/>
      </w:r>
      <w:r w:rsidRPr="00714F72">
        <w:rPr>
          <w:rFonts w:ascii="Calibri" w:hAnsi="Calibri" w:cs="Calibri"/>
        </w:rPr>
        <w:t xml:space="preserve"> </w:t>
      </w:r>
      <w:hyperlink r:id="rId2" w:history="1">
        <w:r w:rsidRPr="00714F72">
          <w:rPr>
            <w:rStyle w:val="Hyperlink"/>
            <w:rFonts w:ascii="Calibri" w:hAnsi="Calibri" w:cs="Calibri"/>
          </w:rPr>
          <w:t>http://www.magap.gob.ec/mag01/index.php/ministerio/organigrama</w:t>
        </w:r>
      </w:hyperlink>
    </w:p>
  </w:footnote>
  <w:footnote w:id="5">
    <w:p w:rsidR="00B4009D" w:rsidRDefault="00B4009D" w:rsidP="000D1001">
      <w:pPr>
        <w:pStyle w:val="FootnoteText"/>
        <w:ind w:left="98" w:hanging="98"/>
        <w:rPr>
          <w:rFonts w:cs="Times New Roman"/>
        </w:rPr>
      </w:pPr>
      <w:r w:rsidRPr="000D1001">
        <w:rPr>
          <w:rStyle w:val="FootnoteReference"/>
          <w:rFonts w:ascii="Calibri" w:hAnsi="Calibri" w:cs="Calibri"/>
        </w:rPr>
        <w:footnoteRef/>
      </w:r>
      <w:r w:rsidRPr="000D1001">
        <w:rPr>
          <w:rFonts w:ascii="Calibri" w:hAnsi="Calibri" w:cs="Calibri"/>
        </w:rPr>
        <w:t xml:space="preserve"> </w:t>
      </w:r>
      <w:r w:rsidRPr="000D1001">
        <w:rPr>
          <w:rFonts w:ascii="Calibri" w:hAnsi="Calibri" w:cs="Calibri"/>
          <w:lang w:val="es-PE"/>
        </w:rPr>
        <w:t>COPESCAALC: Comisión de Pesca Continental y Acuicultura para América Latina y El Caribe; RAA: Red de Acuicultura de las Américas; FAO: Organización de las Naciones Unidas para la Agricultura y la Alimentación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6F03"/>
    <w:multiLevelType w:val="hybridMultilevel"/>
    <w:tmpl w:val="2AB2682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nsid w:val="12FD295B"/>
    <w:multiLevelType w:val="hybridMultilevel"/>
    <w:tmpl w:val="8C6A400C"/>
    <w:lvl w:ilvl="0" w:tplc="280A0005">
      <w:start w:val="1"/>
      <w:numFmt w:val="bullet"/>
      <w:lvlText w:val=""/>
      <w:lvlJc w:val="left"/>
      <w:pPr>
        <w:ind w:left="1429" w:hanging="360"/>
      </w:pPr>
      <w:rPr>
        <w:rFonts w:ascii="Wingdings" w:hAnsi="Wingdings" w:cs="Wingdings" w:hint="default"/>
      </w:rPr>
    </w:lvl>
    <w:lvl w:ilvl="1" w:tplc="280A0003">
      <w:start w:val="1"/>
      <w:numFmt w:val="bullet"/>
      <w:lvlText w:val="o"/>
      <w:lvlJc w:val="left"/>
      <w:pPr>
        <w:ind w:left="2149" w:hanging="360"/>
      </w:pPr>
      <w:rPr>
        <w:rFonts w:ascii="Courier New" w:hAnsi="Courier New" w:cs="Courier New" w:hint="default"/>
      </w:rPr>
    </w:lvl>
    <w:lvl w:ilvl="2" w:tplc="280A0005">
      <w:start w:val="1"/>
      <w:numFmt w:val="bullet"/>
      <w:lvlText w:val=""/>
      <w:lvlJc w:val="left"/>
      <w:pPr>
        <w:ind w:left="2869" w:hanging="360"/>
      </w:pPr>
      <w:rPr>
        <w:rFonts w:ascii="Wingdings" w:hAnsi="Wingdings" w:cs="Wingdings" w:hint="default"/>
      </w:rPr>
    </w:lvl>
    <w:lvl w:ilvl="3" w:tplc="280A0001">
      <w:start w:val="1"/>
      <w:numFmt w:val="bullet"/>
      <w:lvlText w:val=""/>
      <w:lvlJc w:val="left"/>
      <w:pPr>
        <w:ind w:left="3589" w:hanging="360"/>
      </w:pPr>
      <w:rPr>
        <w:rFonts w:ascii="Symbol" w:hAnsi="Symbol" w:cs="Symbol" w:hint="default"/>
      </w:rPr>
    </w:lvl>
    <w:lvl w:ilvl="4" w:tplc="280A0003">
      <w:start w:val="1"/>
      <w:numFmt w:val="bullet"/>
      <w:lvlText w:val="o"/>
      <w:lvlJc w:val="left"/>
      <w:pPr>
        <w:ind w:left="4309" w:hanging="360"/>
      </w:pPr>
      <w:rPr>
        <w:rFonts w:ascii="Courier New" w:hAnsi="Courier New" w:cs="Courier New" w:hint="default"/>
      </w:rPr>
    </w:lvl>
    <w:lvl w:ilvl="5" w:tplc="280A0005">
      <w:start w:val="1"/>
      <w:numFmt w:val="bullet"/>
      <w:lvlText w:val=""/>
      <w:lvlJc w:val="left"/>
      <w:pPr>
        <w:ind w:left="5029" w:hanging="360"/>
      </w:pPr>
      <w:rPr>
        <w:rFonts w:ascii="Wingdings" w:hAnsi="Wingdings" w:cs="Wingdings" w:hint="default"/>
      </w:rPr>
    </w:lvl>
    <w:lvl w:ilvl="6" w:tplc="280A0001">
      <w:start w:val="1"/>
      <w:numFmt w:val="bullet"/>
      <w:lvlText w:val=""/>
      <w:lvlJc w:val="left"/>
      <w:pPr>
        <w:ind w:left="5749" w:hanging="360"/>
      </w:pPr>
      <w:rPr>
        <w:rFonts w:ascii="Symbol" w:hAnsi="Symbol" w:cs="Symbol" w:hint="default"/>
      </w:rPr>
    </w:lvl>
    <w:lvl w:ilvl="7" w:tplc="280A0003">
      <w:start w:val="1"/>
      <w:numFmt w:val="bullet"/>
      <w:lvlText w:val="o"/>
      <w:lvlJc w:val="left"/>
      <w:pPr>
        <w:ind w:left="6469" w:hanging="360"/>
      </w:pPr>
      <w:rPr>
        <w:rFonts w:ascii="Courier New" w:hAnsi="Courier New" w:cs="Courier New" w:hint="default"/>
      </w:rPr>
    </w:lvl>
    <w:lvl w:ilvl="8" w:tplc="280A0005">
      <w:start w:val="1"/>
      <w:numFmt w:val="bullet"/>
      <w:lvlText w:val=""/>
      <w:lvlJc w:val="left"/>
      <w:pPr>
        <w:ind w:left="7189" w:hanging="360"/>
      </w:pPr>
      <w:rPr>
        <w:rFonts w:ascii="Wingdings" w:hAnsi="Wingdings" w:cs="Wingdings" w:hint="default"/>
      </w:rPr>
    </w:lvl>
  </w:abstractNum>
  <w:abstractNum w:abstractNumId="2">
    <w:nsid w:val="7DA03F13"/>
    <w:multiLevelType w:val="hybridMultilevel"/>
    <w:tmpl w:val="1B42034C"/>
    <w:lvl w:ilvl="0" w:tplc="280A0001">
      <w:start w:val="1"/>
      <w:numFmt w:val="bullet"/>
      <w:lvlText w:val=""/>
      <w:lvlJc w:val="left"/>
      <w:pPr>
        <w:ind w:left="720" w:hanging="360"/>
      </w:pPr>
      <w:rPr>
        <w:rFonts w:ascii="Symbol" w:hAnsi="Symbol" w:cs="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cs="Wingdings" w:hint="default"/>
      </w:rPr>
    </w:lvl>
    <w:lvl w:ilvl="3" w:tplc="280A0001">
      <w:start w:val="1"/>
      <w:numFmt w:val="bullet"/>
      <w:lvlText w:val=""/>
      <w:lvlJc w:val="left"/>
      <w:pPr>
        <w:ind w:left="2880" w:hanging="360"/>
      </w:pPr>
      <w:rPr>
        <w:rFonts w:ascii="Symbol" w:hAnsi="Symbol" w:cs="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cs="Wingdings" w:hint="default"/>
      </w:rPr>
    </w:lvl>
    <w:lvl w:ilvl="6" w:tplc="280A0001">
      <w:start w:val="1"/>
      <w:numFmt w:val="bullet"/>
      <w:lvlText w:val=""/>
      <w:lvlJc w:val="left"/>
      <w:pPr>
        <w:ind w:left="5040" w:hanging="360"/>
      </w:pPr>
      <w:rPr>
        <w:rFonts w:ascii="Symbol" w:hAnsi="Symbol" w:cs="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05A7"/>
    <w:rsid w:val="00023331"/>
    <w:rsid w:val="00056690"/>
    <w:rsid w:val="00061A60"/>
    <w:rsid w:val="000876AC"/>
    <w:rsid w:val="00095ED9"/>
    <w:rsid w:val="000A1C82"/>
    <w:rsid w:val="000A1ECC"/>
    <w:rsid w:val="000A4303"/>
    <w:rsid w:val="000B0405"/>
    <w:rsid w:val="000D1001"/>
    <w:rsid w:val="000E6137"/>
    <w:rsid w:val="000F59D5"/>
    <w:rsid w:val="0011269B"/>
    <w:rsid w:val="0015151E"/>
    <w:rsid w:val="00172628"/>
    <w:rsid w:val="001A3A19"/>
    <w:rsid w:val="001C45EE"/>
    <w:rsid w:val="001C5471"/>
    <w:rsid w:val="00204D23"/>
    <w:rsid w:val="00205558"/>
    <w:rsid w:val="00241228"/>
    <w:rsid w:val="00247D7D"/>
    <w:rsid w:val="00260839"/>
    <w:rsid w:val="002759B4"/>
    <w:rsid w:val="00292A03"/>
    <w:rsid w:val="00293430"/>
    <w:rsid w:val="002B631F"/>
    <w:rsid w:val="002C0330"/>
    <w:rsid w:val="002E5C5C"/>
    <w:rsid w:val="002E6D25"/>
    <w:rsid w:val="002F50E9"/>
    <w:rsid w:val="00302146"/>
    <w:rsid w:val="00333AE3"/>
    <w:rsid w:val="00347A46"/>
    <w:rsid w:val="003500C0"/>
    <w:rsid w:val="00382AF2"/>
    <w:rsid w:val="00397C7B"/>
    <w:rsid w:val="003E3E4C"/>
    <w:rsid w:val="00400672"/>
    <w:rsid w:val="00400C16"/>
    <w:rsid w:val="00405084"/>
    <w:rsid w:val="004176C0"/>
    <w:rsid w:val="00422812"/>
    <w:rsid w:val="00442E08"/>
    <w:rsid w:val="00455E04"/>
    <w:rsid w:val="004620D5"/>
    <w:rsid w:val="00474129"/>
    <w:rsid w:val="00483734"/>
    <w:rsid w:val="00494CC2"/>
    <w:rsid w:val="004C1928"/>
    <w:rsid w:val="004E3100"/>
    <w:rsid w:val="00505417"/>
    <w:rsid w:val="00540D81"/>
    <w:rsid w:val="00550E43"/>
    <w:rsid w:val="005526FF"/>
    <w:rsid w:val="00576110"/>
    <w:rsid w:val="005954F6"/>
    <w:rsid w:val="005A2007"/>
    <w:rsid w:val="005C762F"/>
    <w:rsid w:val="005D334B"/>
    <w:rsid w:val="005F53A2"/>
    <w:rsid w:val="00600520"/>
    <w:rsid w:val="00622978"/>
    <w:rsid w:val="0063510D"/>
    <w:rsid w:val="00657A18"/>
    <w:rsid w:val="00681BF9"/>
    <w:rsid w:val="0069562E"/>
    <w:rsid w:val="00697E15"/>
    <w:rsid w:val="006B5F52"/>
    <w:rsid w:val="006C2078"/>
    <w:rsid w:val="00713CB8"/>
    <w:rsid w:val="00714F72"/>
    <w:rsid w:val="0072129A"/>
    <w:rsid w:val="00725DE3"/>
    <w:rsid w:val="00725E2C"/>
    <w:rsid w:val="007704C1"/>
    <w:rsid w:val="007744AB"/>
    <w:rsid w:val="007C4B7D"/>
    <w:rsid w:val="007C573A"/>
    <w:rsid w:val="00805B61"/>
    <w:rsid w:val="00812BD6"/>
    <w:rsid w:val="0081377A"/>
    <w:rsid w:val="00823AEC"/>
    <w:rsid w:val="00823B07"/>
    <w:rsid w:val="0084355D"/>
    <w:rsid w:val="00871DA4"/>
    <w:rsid w:val="008920FF"/>
    <w:rsid w:val="00893371"/>
    <w:rsid w:val="008B40A8"/>
    <w:rsid w:val="008C10F7"/>
    <w:rsid w:val="008D6721"/>
    <w:rsid w:val="00911C43"/>
    <w:rsid w:val="0091509E"/>
    <w:rsid w:val="0092394D"/>
    <w:rsid w:val="00930968"/>
    <w:rsid w:val="00934821"/>
    <w:rsid w:val="00950E5E"/>
    <w:rsid w:val="009751DE"/>
    <w:rsid w:val="009B3524"/>
    <w:rsid w:val="009C0783"/>
    <w:rsid w:val="009D120C"/>
    <w:rsid w:val="009D4670"/>
    <w:rsid w:val="009D5EC9"/>
    <w:rsid w:val="00A05719"/>
    <w:rsid w:val="00A103BB"/>
    <w:rsid w:val="00A17FF3"/>
    <w:rsid w:val="00A46DA4"/>
    <w:rsid w:val="00A6413A"/>
    <w:rsid w:val="00A87074"/>
    <w:rsid w:val="00A931FA"/>
    <w:rsid w:val="00AB0F2A"/>
    <w:rsid w:val="00AB4ADD"/>
    <w:rsid w:val="00AC533A"/>
    <w:rsid w:val="00AD55BC"/>
    <w:rsid w:val="00AE1AEF"/>
    <w:rsid w:val="00AE5AAA"/>
    <w:rsid w:val="00AE6595"/>
    <w:rsid w:val="00AF6690"/>
    <w:rsid w:val="00B16FEA"/>
    <w:rsid w:val="00B20269"/>
    <w:rsid w:val="00B21A3D"/>
    <w:rsid w:val="00B2288B"/>
    <w:rsid w:val="00B4009D"/>
    <w:rsid w:val="00B52221"/>
    <w:rsid w:val="00B77503"/>
    <w:rsid w:val="00B77F4F"/>
    <w:rsid w:val="00B86828"/>
    <w:rsid w:val="00BA1743"/>
    <w:rsid w:val="00BC26F2"/>
    <w:rsid w:val="00BD3A7E"/>
    <w:rsid w:val="00BF0834"/>
    <w:rsid w:val="00BF39E4"/>
    <w:rsid w:val="00C178CA"/>
    <w:rsid w:val="00C333ED"/>
    <w:rsid w:val="00C41A4B"/>
    <w:rsid w:val="00C66080"/>
    <w:rsid w:val="00C85151"/>
    <w:rsid w:val="00C94833"/>
    <w:rsid w:val="00CB0D19"/>
    <w:rsid w:val="00CC411C"/>
    <w:rsid w:val="00CD0886"/>
    <w:rsid w:val="00D0482E"/>
    <w:rsid w:val="00D12634"/>
    <w:rsid w:val="00D1366B"/>
    <w:rsid w:val="00D13CC8"/>
    <w:rsid w:val="00D26D7C"/>
    <w:rsid w:val="00D46EFB"/>
    <w:rsid w:val="00D55833"/>
    <w:rsid w:val="00D605A7"/>
    <w:rsid w:val="00D60F34"/>
    <w:rsid w:val="00D75D40"/>
    <w:rsid w:val="00D9609E"/>
    <w:rsid w:val="00DA1142"/>
    <w:rsid w:val="00DA253C"/>
    <w:rsid w:val="00DA2B2E"/>
    <w:rsid w:val="00DB23A4"/>
    <w:rsid w:val="00DB68DD"/>
    <w:rsid w:val="00DC04F8"/>
    <w:rsid w:val="00DC55F8"/>
    <w:rsid w:val="00DD4336"/>
    <w:rsid w:val="00DD4A6C"/>
    <w:rsid w:val="00DE4331"/>
    <w:rsid w:val="00DF2060"/>
    <w:rsid w:val="00DF2EA7"/>
    <w:rsid w:val="00DF3959"/>
    <w:rsid w:val="00E2048C"/>
    <w:rsid w:val="00E364A6"/>
    <w:rsid w:val="00E54D61"/>
    <w:rsid w:val="00E6121A"/>
    <w:rsid w:val="00E63049"/>
    <w:rsid w:val="00E66495"/>
    <w:rsid w:val="00E74D40"/>
    <w:rsid w:val="00E759D4"/>
    <w:rsid w:val="00E81B4C"/>
    <w:rsid w:val="00E8466A"/>
    <w:rsid w:val="00E94B02"/>
    <w:rsid w:val="00EB410E"/>
    <w:rsid w:val="00EE1F1B"/>
    <w:rsid w:val="00EE5BCA"/>
    <w:rsid w:val="00EF2AE8"/>
    <w:rsid w:val="00EF6EB4"/>
    <w:rsid w:val="00F075E0"/>
    <w:rsid w:val="00F27EEC"/>
    <w:rsid w:val="00F36C9F"/>
    <w:rsid w:val="00F54357"/>
    <w:rsid w:val="00F60AD7"/>
    <w:rsid w:val="00F70DB0"/>
    <w:rsid w:val="00FA54C2"/>
    <w:rsid w:val="00FB0445"/>
    <w:rsid w:val="00FB35E0"/>
    <w:rsid w:val="00FC20AF"/>
    <w:rsid w:val="00FE63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5E0"/>
    <w:pPr>
      <w:spacing w:after="200" w:line="276" w:lineRule="auto"/>
    </w:pPr>
    <w:rPr>
      <w:rFonts w:cs="Calibri"/>
      <w:color w:val="000000"/>
      <w:sz w:val="24"/>
      <w:szCs w:val="24"/>
      <w:lang w:val="es-ES"/>
    </w:rPr>
  </w:style>
  <w:style w:type="paragraph" w:styleId="Heading5">
    <w:name w:val="heading 5"/>
    <w:basedOn w:val="Normal"/>
    <w:next w:val="Normal"/>
    <w:link w:val="Heading5Char"/>
    <w:uiPriority w:val="99"/>
    <w:qFormat/>
    <w:rsid w:val="00247D7D"/>
    <w:pPr>
      <w:spacing w:before="240" w:after="60" w:line="240" w:lineRule="auto"/>
      <w:jc w:val="both"/>
      <w:outlineLvl w:val="4"/>
    </w:pPr>
    <w:rPr>
      <w:rFonts w:eastAsia="Times New Roman"/>
      <w:b/>
      <w:bCs/>
      <w:i/>
      <w:iCs/>
      <w:color w:val="auto"/>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247D7D"/>
    <w:rPr>
      <w:rFonts w:eastAsia="Times New Roman"/>
      <w:b/>
      <w:bCs/>
      <w:i/>
      <w:iCs/>
      <w:color w:val="auto"/>
      <w:sz w:val="26"/>
      <w:szCs w:val="26"/>
      <w:u w:val="none"/>
      <w:lang w:val="es-ES"/>
    </w:rPr>
  </w:style>
  <w:style w:type="paragraph" w:styleId="BodyText">
    <w:name w:val="Body Text"/>
    <w:basedOn w:val="Normal"/>
    <w:link w:val="BodyTextChar"/>
    <w:uiPriority w:val="99"/>
    <w:rsid w:val="00247D7D"/>
    <w:pPr>
      <w:widowControl w:val="0"/>
      <w:spacing w:after="0" w:line="240" w:lineRule="auto"/>
      <w:jc w:val="both"/>
    </w:pPr>
    <w:rPr>
      <w:rFonts w:ascii="Arial" w:eastAsia="Times New Roman" w:hAnsi="Arial" w:cs="Arial"/>
      <w:color w:val="auto"/>
      <w:sz w:val="22"/>
      <w:szCs w:val="22"/>
      <w:lang w:val="es-ES_tradnl" w:eastAsia="es-ES"/>
    </w:rPr>
  </w:style>
  <w:style w:type="character" w:customStyle="1" w:styleId="BodyTextChar">
    <w:name w:val="Body Text Char"/>
    <w:basedOn w:val="DefaultParagraphFont"/>
    <w:link w:val="BodyText"/>
    <w:uiPriority w:val="99"/>
    <w:locked/>
    <w:rsid w:val="00247D7D"/>
    <w:rPr>
      <w:rFonts w:ascii="Arial" w:hAnsi="Arial" w:cs="Arial"/>
      <w:snapToGrid w:val="0"/>
      <w:color w:val="auto"/>
      <w:sz w:val="20"/>
      <w:szCs w:val="20"/>
      <w:u w:val="none"/>
      <w:lang w:val="es-ES_tradnl" w:eastAsia="es-ES"/>
    </w:rPr>
  </w:style>
  <w:style w:type="paragraph" w:styleId="Header">
    <w:name w:val="header"/>
    <w:basedOn w:val="Normal"/>
    <w:link w:val="HeaderChar"/>
    <w:uiPriority w:val="99"/>
    <w:semiHidden/>
    <w:rsid w:val="00247D7D"/>
    <w:pPr>
      <w:tabs>
        <w:tab w:val="center" w:pos="4419"/>
        <w:tab w:val="right" w:pos="8838"/>
      </w:tabs>
      <w:spacing w:after="0" w:line="240" w:lineRule="auto"/>
    </w:pPr>
  </w:style>
  <w:style w:type="character" w:customStyle="1" w:styleId="HeaderChar">
    <w:name w:val="Header Char"/>
    <w:basedOn w:val="DefaultParagraphFont"/>
    <w:link w:val="Header"/>
    <w:uiPriority w:val="99"/>
    <w:semiHidden/>
    <w:locked/>
    <w:rsid w:val="00247D7D"/>
    <w:rPr>
      <w:color w:val="000000"/>
      <w:u w:val="none"/>
      <w:lang w:val="es-ES"/>
    </w:rPr>
  </w:style>
  <w:style w:type="paragraph" w:styleId="Footer">
    <w:name w:val="footer"/>
    <w:basedOn w:val="Normal"/>
    <w:link w:val="FooterChar"/>
    <w:uiPriority w:val="99"/>
    <w:semiHidden/>
    <w:rsid w:val="00247D7D"/>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247D7D"/>
    <w:rPr>
      <w:color w:val="000000"/>
      <w:u w:val="none"/>
      <w:lang w:val="es-ES"/>
    </w:rPr>
  </w:style>
  <w:style w:type="paragraph" w:styleId="ListParagraph">
    <w:name w:val="List Paragraph"/>
    <w:basedOn w:val="Normal"/>
    <w:uiPriority w:val="99"/>
    <w:qFormat/>
    <w:rsid w:val="00E54D61"/>
    <w:pPr>
      <w:ind w:left="720"/>
    </w:pPr>
  </w:style>
  <w:style w:type="character" w:styleId="Hyperlink">
    <w:name w:val="Hyperlink"/>
    <w:basedOn w:val="DefaultParagraphFont"/>
    <w:uiPriority w:val="99"/>
    <w:rsid w:val="004C1928"/>
    <w:rPr>
      <w:color w:val="0000FF"/>
      <w:u w:val="single"/>
    </w:rPr>
  </w:style>
  <w:style w:type="paragraph" w:styleId="FootnoteText">
    <w:name w:val="footnote text"/>
    <w:basedOn w:val="Normal"/>
    <w:link w:val="FootnoteTextChar"/>
    <w:uiPriority w:val="99"/>
    <w:semiHidden/>
    <w:rsid w:val="000A1ECC"/>
    <w:pPr>
      <w:spacing w:after="0" w:line="240" w:lineRule="auto"/>
      <w:jc w:val="both"/>
    </w:pPr>
    <w:rPr>
      <w:rFonts w:ascii="Arial" w:eastAsia="Times New Roman" w:hAnsi="Arial" w:cs="Arial"/>
      <w:color w:val="auto"/>
      <w:sz w:val="20"/>
      <w:szCs w:val="20"/>
      <w:lang w:eastAsia="es-ES"/>
    </w:rPr>
  </w:style>
  <w:style w:type="character" w:customStyle="1" w:styleId="FootnoteTextChar">
    <w:name w:val="Footnote Text Char"/>
    <w:basedOn w:val="DefaultParagraphFont"/>
    <w:link w:val="FootnoteText"/>
    <w:uiPriority w:val="99"/>
    <w:locked/>
    <w:rsid w:val="000A1ECC"/>
    <w:rPr>
      <w:rFonts w:ascii="Arial" w:hAnsi="Arial" w:cs="Arial"/>
      <w:color w:val="auto"/>
      <w:sz w:val="20"/>
      <w:szCs w:val="20"/>
      <w:u w:val="none"/>
      <w:lang w:val="es-ES" w:eastAsia="es-ES"/>
    </w:rPr>
  </w:style>
  <w:style w:type="character" w:styleId="FootnoteReference">
    <w:name w:val="footnote reference"/>
    <w:basedOn w:val="DefaultParagraphFont"/>
    <w:uiPriority w:val="99"/>
    <w:semiHidden/>
    <w:rsid w:val="000A1ECC"/>
    <w:rPr>
      <w:vertAlign w:val="superscript"/>
    </w:rPr>
  </w:style>
  <w:style w:type="paragraph" w:styleId="BalloonText">
    <w:name w:val="Balloon Text"/>
    <w:basedOn w:val="Normal"/>
    <w:link w:val="BalloonTextChar"/>
    <w:uiPriority w:val="99"/>
    <w:semiHidden/>
    <w:rsid w:val="009C0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0783"/>
    <w:rPr>
      <w:rFonts w:ascii="Tahoma" w:hAnsi="Tahoma" w:cs="Tahoma"/>
      <w:color w:val="000000"/>
      <w:sz w:val="16"/>
      <w:szCs w:val="16"/>
      <w:u w:val="none"/>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gap.gob.ec/" TargetMode="External"/><Relationship Id="rId5" Type="http://schemas.openxmlformats.org/officeDocument/2006/relationships/footnotes" Target="footnotes.xml"/><Relationship Id="rId10" Type="http://schemas.openxmlformats.org/officeDocument/2006/relationships/hyperlink" Target="http://www.subpesca.cl/" TargetMode="External"/><Relationship Id="rId4" Type="http://schemas.openxmlformats.org/officeDocument/2006/relationships/webSettings" Target="webSettings.xml"/><Relationship Id="rId9" Type="http://schemas.openxmlformats.org/officeDocument/2006/relationships/hyperlink" Target="http://www.mimpa.gov.b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magap.gob.ec/mag01/index.php/ministerio/organigrama" TargetMode="External"/><Relationship Id="rId1" Type="http://schemas.openxmlformats.org/officeDocument/2006/relationships/hyperlink" Target="http://www.camara.cl/prensa/noticias_detalle.aspx?prmid=49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5</Pages>
  <Words>2616</Words>
  <Characters>14394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SUSTENTO TECNICO</dc:title>
  <dc:subject/>
  <dc:creator>PRODUCE</dc:creator>
  <cp:keywords/>
  <dc:description/>
  <cp:lastModifiedBy>LMERINO</cp:lastModifiedBy>
  <cp:revision>2</cp:revision>
  <cp:lastPrinted>2012-06-26T21:36:00Z</cp:lastPrinted>
  <dcterms:created xsi:type="dcterms:W3CDTF">2012-07-31T20:05:00Z</dcterms:created>
  <dcterms:modified xsi:type="dcterms:W3CDTF">2012-07-31T20:05:00Z</dcterms:modified>
</cp:coreProperties>
</file>