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40" w:rsidRPr="00533957" w:rsidRDefault="001D6499">
      <w:pPr>
        <w:rPr>
          <w:b/>
          <w:sz w:val="32"/>
          <w:szCs w:val="32"/>
        </w:rPr>
      </w:pPr>
      <w:r w:rsidRPr="00533957">
        <w:rPr>
          <w:b/>
          <w:sz w:val="32"/>
          <w:szCs w:val="32"/>
        </w:rPr>
        <w:t>TIBURONES DE LA PESCA</w:t>
      </w:r>
      <w:r w:rsidR="00225C40" w:rsidRPr="00533957">
        <w:rPr>
          <w:b/>
          <w:sz w:val="32"/>
          <w:szCs w:val="32"/>
        </w:rPr>
        <w:t xml:space="preserve"> DEPREDA</w:t>
      </w:r>
      <w:r w:rsidRPr="00533957">
        <w:rPr>
          <w:b/>
          <w:sz w:val="32"/>
          <w:szCs w:val="32"/>
        </w:rPr>
        <w:t>N</w:t>
      </w:r>
      <w:r w:rsidR="00225C40" w:rsidRPr="00533957">
        <w:rPr>
          <w:b/>
          <w:sz w:val="32"/>
          <w:szCs w:val="32"/>
        </w:rPr>
        <w:t xml:space="preserve"> EL RECURSO ANCHOVETA</w:t>
      </w:r>
      <w:r w:rsidR="00755F5D" w:rsidRPr="00533957">
        <w:rPr>
          <w:b/>
          <w:sz w:val="32"/>
          <w:szCs w:val="32"/>
        </w:rPr>
        <w:t>.</w:t>
      </w:r>
    </w:p>
    <w:p w:rsidR="00755F5D" w:rsidRPr="00225C40" w:rsidRDefault="00755F5D">
      <w:pPr>
        <w:rPr>
          <w:b/>
          <w:sz w:val="28"/>
          <w:szCs w:val="28"/>
        </w:rPr>
      </w:pPr>
      <w:r>
        <w:rPr>
          <w:b/>
          <w:sz w:val="28"/>
          <w:szCs w:val="28"/>
        </w:rPr>
        <w:t>Escribe</w:t>
      </w:r>
      <w:proofErr w:type="gramStart"/>
      <w:r>
        <w:rPr>
          <w:b/>
          <w:sz w:val="28"/>
          <w:szCs w:val="28"/>
        </w:rPr>
        <w:t>:  César</w:t>
      </w:r>
      <w:proofErr w:type="gramEnd"/>
      <w:r>
        <w:rPr>
          <w:b/>
          <w:sz w:val="28"/>
          <w:szCs w:val="28"/>
        </w:rPr>
        <w:t xml:space="preserve"> García Lozada</w:t>
      </w:r>
    </w:p>
    <w:p w:rsidR="00755F5D" w:rsidRPr="00D47D60" w:rsidRDefault="00076063" w:rsidP="00225C40">
      <w:pPr>
        <w:jc w:val="both"/>
        <w:rPr>
          <w:rFonts w:cstheme="minorHAnsi"/>
          <w:i/>
          <w:sz w:val="24"/>
          <w:szCs w:val="24"/>
        </w:rPr>
      </w:pPr>
      <w:r w:rsidRPr="00D47D60">
        <w:rPr>
          <w:rFonts w:cstheme="minorHAnsi"/>
          <w:sz w:val="24"/>
          <w:szCs w:val="24"/>
        </w:rPr>
        <w:t>La Ministra</w:t>
      </w:r>
      <w:r w:rsidR="00D15134" w:rsidRPr="00D47D60">
        <w:rPr>
          <w:rFonts w:cstheme="minorHAnsi"/>
          <w:sz w:val="24"/>
          <w:szCs w:val="24"/>
        </w:rPr>
        <w:t xml:space="preserve"> de la Producción  Gladys </w:t>
      </w:r>
      <w:proofErr w:type="spellStart"/>
      <w:r w:rsidR="00D15134" w:rsidRPr="00D47D60">
        <w:rPr>
          <w:rFonts w:cstheme="minorHAnsi"/>
          <w:sz w:val="24"/>
          <w:szCs w:val="24"/>
        </w:rPr>
        <w:t>Triveño</w:t>
      </w:r>
      <w:proofErr w:type="spellEnd"/>
      <w:r w:rsidRPr="00D47D60">
        <w:rPr>
          <w:rFonts w:cstheme="minorHAnsi"/>
          <w:sz w:val="24"/>
          <w:szCs w:val="24"/>
        </w:rPr>
        <w:t xml:space="preserve"> puede </w:t>
      </w:r>
      <w:r w:rsidR="00755F5D" w:rsidRPr="00D47D60">
        <w:rPr>
          <w:rFonts w:cstheme="minorHAnsi"/>
          <w:sz w:val="24"/>
          <w:szCs w:val="24"/>
        </w:rPr>
        <w:t>esgrimir los mejores argumentos técnicos</w:t>
      </w:r>
      <w:r w:rsidRPr="00D47D60">
        <w:rPr>
          <w:rFonts w:cstheme="minorHAnsi"/>
          <w:sz w:val="24"/>
          <w:szCs w:val="24"/>
        </w:rPr>
        <w:t>,</w:t>
      </w:r>
      <w:r w:rsidR="00755F5D" w:rsidRPr="00D47D60">
        <w:rPr>
          <w:rFonts w:cstheme="minorHAnsi"/>
          <w:sz w:val="24"/>
          <w:szCs w:val="24"/>
        </w:rPr>
        <w:t xml:space="preserve"> como los del día de ayer </w:t>
      </w:r>
      <w:r w:rsidR="00BF7F42" w:rsidRPr="00D47D60">
        <w:rPr>
          <w:rFonts w:cstheme="minorHAnsi"/>
          <w:sz w:val="24"/>
          <w:szCs w:val="24"/>
        </w:rPr>
        <w:t xml:space="preserve">en diferentes medios de prensa, </w:t>
      </w:r>
      <w:r w:rsidR="00755F5D" w:rsidRPr="00D47D60">
        <w:rPr>
          <w:rFonts w:cstheme="minorHAnsi"/>
          <w:sz w:val="24"/>
          <w:szCs w:val="24"/>
        </w:rPr>
        <w:t>que “</w:t>
      </w:r>
      <w:r w:rsidR="00755F5D" w:rsidRPr="00150DC3">
        <w:rPr>
          <w:rFonts w:eastAsia="Times New Roman" w:cstheme="minorHAnsi"/>
          <w:i/>
          <w:color w:val="555555"/>
          <w:sz w:val="24"/>
          <w:szCs w:val="24"/>
          <w:lang w:eastAsia="es-PE"/>
        </w:rPr>
        <w:t>La pesca de anchoveta se encuentra en una zona de vulnerabilidad debido a la</w:t>
      </w:r>
      <w:r w:rsidR="00755F5D" w:rsidRPr="00D47D60">
        <w:rPr>
          <w:rFonts w:eastAsia="Times New Roman" w:cstheme="minorHAnsi"/>
          <w:i/>
          <w:color w:val="555555"/>
          <w:sz w:val="24"/>
          <w:szCs w:val="24"/>
          <w:lang w:eastAsia="es-PE"/>
        </w:rPr>
        <w:t xml:space="preserve"> </w:t>
      </w:r>
      <w:r w:rsidR="00755F5D" w:rsidRPr="00D47D60">
        <w:rPr>
          <w:rFonts w:eastAsia="Times New Roman" w:cstheme="minorHAnsi"/>
          <w:b/>
          <w:bCs/>
          <w:i/>
          <w:color w:val="555555"/>
          <w:sz w:val="24"/>
          <w:szCs w:val="24"/>
          <w:lang w:eastAsia="es-PE"/>
        </w:rPr>
        <w:t>sobrepesca del recurso y factores climáticos</w:t>
      </w:r>
      <w:r w:rsidR="00755F5D" w:rsidRPr="00D47D60">
        <w:rPr>
          <w:rFonts w:eastAsia="Times New Roman" w:cstheme="minorHAnsi"/>
          <w:i/>
          <w:color w:val="555555"/>
          <w:sz w:val="24"/>
          <w:szCs w:val="24"/>
          <w:lang w:eastAsia="es-PE"/>
        </w:rPr>
        <w:t>… y que “</w:t>
      </w:r>
      <w:r w:rsidR="00755F5D" w:rsidRPr="00150DC3">
        <w:rPr>
          <w:rFonts w:eastAsia="Times New Roman" w:cstheme="minorHAnsi"/>
          <w:i/>
          <w:color w:val="555555"/>
          <w:sz w:val="24"/>
          <w:szCs w:val="24"/>
          <w:lang w:eastAsia="es-PE"/>
        </w:rPr>
        <w:t>Produce estableció el lunes una cuota mínima de pesca de anchoveta de 810 mil toneladas para la segunda temporada, 68% menor a la cuota anterior</w:t>
      </w:r>
      <w:r w:rsidR="00755F5D" w:rsidRPr="00D47D60">
        <w:rPr>
          <w:rFonts w:eastAsia="Times New Roman" w:cstheme="minorHAnsi"/>
          <w:i/>
          <w:color w:val="555555"/>
          <w:sz w:val="24"/>
          <w:szCs w:val="24"/>
          <w:lang w:eastAsia="es-PE"/>
        </w:rPr>
        <w:t>”</w:t>
      </w:r>
      <w:r w:rsidR="00755F5D" w:rsidRPr="00150DC3">
        <w:rPr>
          <w:rFonts w:eastAsia="Times New Roman" w:cstheme="minorHAnsi"/>
          <w:i/>
          <w:color w:val="555555"/>
          <w:sz w:val="24"/>
          <w:szCs w:val="24"/>
          <w:lang w:eastAsia="es-PE"/>
        </w:rPr>
        <w:t>.</w:t>
      </w:r>
    </w:p>
    <w:p w:rsidR="001D6499" w:rsidRPr="00D47D60" w:rsidRDefault="00364E88" w:rsidP="00225C40">
      <w:pPr>
        <w:jc w:val="both"/>
        <w:rPr>
          <w:rFonts w:cstheme="minorHAnsi"/>
          <w:sz w:val="24"/>
          <w:szCs w:val="24"/>
        </w:rPr>
      </w:pPr>
      <w:r w:rsidRPr="00D47D60">
        <w:rPr>
          <w:rFonts w:cstheme="minorHAnsi"/>
          <w:sz w:val="24"/>
          <w:szCs w:val="24"/>
        </w:rPr>
        <w:t>P</w:t>
      </w:r>
      <w:r w:rsidR="00076063" w:rsidRPr="00D47D60">
        <w:rPr>
          <w:rFonts w:cstheme="minorHAnsi"/>
          <w:sz w:val="24"/>
          <w:szCs w:val="24"/>
        </w:rPr>
        <w:t>ero</w:t>
      </w:r>
      <w:r w:rsidRPr="00D47D60">
        <w:rPr>
          <w:rFonts w:cstheme="minorHAnsi"/>
          <w:sz w:val="24"/>
          <w:szCs w:val="24"/>
        </w:rPr>
        <w:t xml:space="preserve"> lo concreto es que</w:t>
      </w:r>
      <w:r w:rsidR="00076063" w:rsidRPr="00D47D60">
        <w:rPr>
          <w:rFonts w:cstheme="minorHAnsi"/>
          <w:sz w:val="24"/>
          <w:szCs w:val="24"/>
        </w:rPr>
        <w:t xml:space="preserve"> el oligopolio pesquero no cumplirá con esta </w:t>
      </w:r>
      <w:r w:rsidR="009D24C7" w:rsidRPr="00D47D60">
        <w:rPr>
          <w:rFonts w:cstheme="minorHAnsi"/>
          <w:sz w:val="24"/>
          <w:szCs w:val="24"/>
        </w:rPr>
        <w:t>“</w:t>
      </w:r>
      <w:r w:rsidR="00076063" w:rsidRPr="00D47D60">
        <w:rPr>
          <w:rFonts w:cstheme="minorHAnsi"/>
          <w:sz w:val="24"/>
          <w:szCs w:val="24"/>
        </w:rPr>
        <w:t>cuota</w:t>
      </w:r>
      <w:r w:rsidR="00793D04" w:rsidRPr="00D47D60">
        <w:rPr>
          <w:rFonts w:cstheme="minorHAnsi"/>
          <w:sz w:val="24"/>
          <w:szCs w:val="24"/>
        </w:rPr>
        <w:t xml:space="preserve"> social</w:t>
      </w:r>
      <w:r w:rsidR="009D24C7" w:rsidRPr="00D47D60">
        <w:rPr>
          <w:rFonts w:cstheme="minorHAnsi"/>
          <w:sz w:val="24"/>
          <w:szCs w:val="24"/>
        </w:rPr>
        <w:t>” de 810</w:t>
      </w:r>
      <w:r w:rsidR="0051048D">
        <w:rPr>
          <w:rFonts w:cstheme="minorHAnsi"/>
          <w:sz w:val="24"/>
          <w:szCs w:val="24"/>
        </w:rPr>
        <w:t xml:space="preserve"> mil</w:t>
      </w:r>
      <w:r w:rsidR="009D24C7" w:rsidRPr="00D47D60">
        <w:rPr>
          <w:rFonts w:cstheme="minorHAnsi"/>
          <w:sz w:val="24"/>
          <w:szCs w:val="24"/>
        </w:rPr>
        <w:t xml:space="preserve"> Toneladas de anchoveta</w:t>
      </w:r>
      <w:r w:rsidR="00793D04" w:rsidRPr="00D47D60">
        <w:rPr>
          <w:rFonts w:cstheme="minorHAnsi"/>
          <w:sz w:val="24"/>
          <w:szCs w:val="24"/>
        </w:rPr>
        <w:t xml:space="preserve"> en la siguiente temporada de pesca</w:t>
      </w:r>
      <w:r w:rsidR="001D6499" w:rsidRPr="00D47D60">
        <w:rPr>
          <w:rFonts w:cstheme="minorHAnsi"/>
          <w:sz w:val="24"/>
          <w:szCs w:val="24"/>
        </w:rPr>
        <w:t xml:space="preserve"> (410 mil para Noviembre y Diciembre 2012 y 400</w:t>
      </w:r>
      <w:r w:rsidR="004124D7">
        <w:rPr>
          <w:rFonts w:cstheme="minorHAnsi"/>
          <w:sz w:val="24"/>
          <w:szCs w:val="24"/>
        </w:rPr>
        <w:t xml:space="preserve"> mil</w:t>
      </w:r>
      <w:r w:rsidR="001D6499" w:rsidRPr="00D47D60">
        <w:rPr>
          <w:rFonts w:cstheme="minorHAnsi"/>
          <w:sz w:val="24"/>
          <w:szCs w:val="24"/>
        </w:rPr>
        <w:t xml:space="preserve"> para Enero 2013)</w:t>
      </w:r>
      <w:r w:rsidR="00793D04" w:rsidRPr="00D47D60">
        <w:rPr>
          <w:rFonts w:cstheme="minorHAnsi"/>
          <w:sz w:val="24"/>
          <w:szCs w:val="24"/>
        </w:rPr>
        <w:t>;</w:t>
      </w:r>
      <w:r w:rsidR="00076063" w:rsidRPr="00D47D60">
        <w:rPr>
          <w:rFonts w:cstheme="minorHAnsi"/>
          <w:sz w:val="24"/>
          <w:szCs w:val="24"/>
        </w:rPr>
        <w:t xml:space="preserve"> por el contrario la duplicará</w:t>
      </w:r>
      <w:r w:rsidR="00793D04" w:rsidRPr="00D47D60">
        <w:rPr>
          <w:rFonts w:cstheme="minorHAnsi"/>
          <w:sz w:val="24"/>
          <w:szCs w:val="24"/>
        </w:rPr>
        <w:t xml:space="preserve"> teniendo en cuenta que los niveles de control de Produce son bastante “vulnerables”</w:t>
      </w:r>
      <w:r w:rsidR="001D6499" w:rsidRPr="00D47D60">
        <w:rPr>
          <w:rFonts w:cstheme="minorHAnsi"/>
          <w:sz w:val="24"/>
          <w:szCs w:val="24"/>
        </w:rPr>
        <w:t xml:space="preserve">, y a </w:t>
      </w:r>
      <w:r w:rsidR="00BF7F42" w:rsidRPr="00D47D60">
        <w:rPr>
          <w:rFonts w:cstheme="minorHAnsi"/>
          <w:sz w:val="24"/>
          <w:szCs w:val="24"/>
        </w:rPr>
        <w:t>esa pesca negra (no registrada)</w:t>
      </w:r>
      <w:r w:rsidRPr="00D47D60">
        <w:rPr>
          <w:rFonts w:cstheme="minorHAnsi"/>
          <w:sz w:val="24"/>
          <w:szCs w:val="24"/>
        </w:rPr>
        <w:t xml:space="preserve"> </w:t>
      </w:r>
      <w:r w:rsidR="001D6499" w:rsidRPr="00D47D60">
        <w:rPr>
          <w:rFonts w:cstheme="minorHAnsi"/>
          <w:sz w:val="24"/>
          <w:szCs w:val="24"/>
        </w:rPr>
        <w:t>contribuirán las embarcaciones de madera beneficiadas con la pesca dentro de las 10 y 5 millas marinas que pesca</w:t>
      </w:r>
      <w:r w:rsidRPr="00D47D60">
        <w:rPr>
          <w:rFonts w:cstheme="minorHAnsi"/>
          <w:sz w:val="24"/>
          <w:szCs w:val="24"/>
        </w:rPr>
        <w:t>rán</w:t>
      </w:r>
      <w:r w:rsidR="001D6499" w:rsidRPr="00D47D60">
        <w:rPr>
          <w:rFonts w:cstheme="minorHAnsi"/>
          <w:sz w:val="24"/>
          <w:szCs w:val="24"/>
        </w:rPr>
        <w:t xml:space="preserve"> anchoveta para la industria harinera en lugar de pescar recursos de consumo humano directo</w:t>
      </w:r>
      <w:r w:rsidRPr="00D47D60">
        <w:rPr>
          <w:rFonts w:cstheme="minorHAnsi"/>
          <w:sz w:val="24"/>
          <w:szCs w:val="24"/>
        </w:rPr>
        <w:t>, pues le es más rentable.</w:t>
      </w:r>
    </w:p>
    <w:p w:rsidR="00364E88" w:rsidRPr="00150DC3" w:rsidRDefault="00364E88" w:rsidP="00364E88">
      <w:pPr>
        <w:jc w:val="both"/>
        <w:rPr>
          <w:rFonts w:eastAsia="Times New Roman" w:cstheme="minorHAnsi"/>
          <w:i/>
          <w:color w:val="555555"/>
          <w:sz w:val="24"/>
          <w:szCs w:val="24"/>
          <w:lang w:eastAsia="es-PE"/>
        </w:rPr>
      </w:pPr>
      <w:r w:rsidRPr="00D47D60">
        <w:rPr>
          <w:rFonts w:cstheme="minorHAnsi"/>
          <w:sz w:val="24"/>
          <w:szCs w:val="24"/>
        </w:rPr>
        <w:t>Pese a que la</w:t>
      </w:r>
      <w:r w:rsidRPr="00150DC3">
        <w:rPr>
          <w:rFonts w:eastAsia="Times New Roman" w:cstheme="minorHAnsi"/>
          <w:color w:val="555555"/>
          <w:sz w:val="24"/>
          <w:szCs w:val="24"/>
          <w:lang w:eastAsia="es-PE"/>
        </w:rPr>
        <w:t xml:space="preserve"> titular del</w:t>
      </w:r>
      <w:r w:rsidRPr="00D47D60">
        <w:rPr>
          <w:rFonts w:eastAsia="Times New Roman" w:cstheme="minorHAnsi"/>
          <w:color w:val="555555"/>
          <w:sz w:val="24"/>
          <w:szCs w:val="24"/>
          <w:lang w:eastAsia="es-PE"/>
        </w:rPr>
        <w:t> </w:t>
      </w:r>
      <w:hyperlink r:id="rId5" w:tgtFrame="_blank" w:history="1">
        <w:r w:rsidRPr="00D47D60">
          <w:rPr>
            <w:rFonts w:eastAsia="Times New Roman" w:cstheme="minorHAnsi"/>
            <w:color w:val="E00000"/>
            <w:sz w:val="24"/>
            <w:szCs w:val="24"/>
            <w:lang w:eastAsia="es-PE"/>
          </w:rPr>
          <w:t>Produce</w:t>
        </w:r>
      </w:hyperlink>
      <w:r w:rsidRPr="00D47D60">
        <w:rPr>
          <w:rFonts w:eastAsia="Times New Roman" w:cstheme="minorHAnsi"/>
          <w:color w:val="555555"/>
          <w:sz w:val="24"/>
          <w:szCs w:val="24"/>
          <w:lang w:eastAsia="es-PE"/>
        </w:rPr>
        <w:t> </w:t>
      </w:r>
      <w:r w:rsidRPr="00150DC3">
        <w:rPr>
          <w:rFonts w:eastAsia="Times New Roman" w:cstheme="minorHAnsi"/>
          <w:color w:val="555555"/>
          <w:sz w:val="24"/>
          <w:szCs w:val="24"/>
          <w:lang w:eastAsia="es-PE"/>
        </w:rPr>
        <w:t xml:space="preserve">detalló que </w:t>
      </w:r>
      <w:r w:rsidR="00BF7F42" w:rsidRPr="00D47D60">
        <w:rPr>
          <w:rFonts w:eastAsia="Times New Roman" w:cstheme="minorHAnsi"/>
          <w:color w:val="555555"/>
          <w:sz w:val="24"/>
          <w:szCs w:val="24"/>
          <w:lang w:eastAsia="es-PE"/>
        </w:rPr>
        <w:t>“</w:t>
      </w:r>
      <w:r w:rsidRPr="00150DC3">
        <w:rPr>
          <w:rFonts w:eastAsia="Times New Roman" w:cstheme="minorHAnsi"/>
          <w:i/>
          <w:color w:val="555555"/>
          <w:sz w:val="24"/>
          <w:szCs w:val="24"/>
          <w:lang w:eastAsia="es-PE"/>
        </w:rPr>
        <w:t>según un informe del Instituto del Mar del Perú (IMARPE) la biomasa de anchoveta –el total de anchoveta– que hoy existe (5,3 millones de toneladas)</w:t>
      </w:r>
      <w:r w:rsidRPr="00D47D60">
        <w:rPr>
          <w:rFonts w:eastAsia="Times New Roman" w:cstheme="minorHAnsi"/>
          <w:i/>
          <w:color w:val="555555"/>
          <w:sz w:val="24"/>
          <w:szCs w:val="24"/>
          <w:lang w:eastAsia="es-PE"/>
        </w:rPr>
        <w:t> </w:t>
      </w:r>
      <w:r w:rsidRPr="00D47D60">
        <w:rPr>
          <w:rFonts w:eastAsia="Times New Roman" w:cstheme="minorHAnsi"/>
          <w:b/>
          <w:bCs/>
          <w:i/>
          <w:color w:val="555555"/>
          <w:sz w:val="24"/>
          <w:szCs w:val="24"/>
          <w:lang w:eastAsia="es-PE"/>
        </w:rPr>
        <w:t xml:space="preserve">no alcanza para cubrir el monto óptimo de biomasa </w:t>
      </w:r>
      <w:proofErr w:type="spellStart"/>
      <w:r w:rsidRPr="00D47D60">
        <w:rPr>
          <w:rFonts w:eastAsia="Times New Roman" w:cstheme="minorHAnsi"/>
          <w:b/>
          <w:bCs/>
          <w:i/>
          <w:color w:val="555555"/>
          <w:sz w:val="24"/>
          <w:szCs w:val="24"/>
          <w:lang w:eastAsia="es-PE"/>
        </w:rPr>
        <w:t>desovante</w:t>
      </w:r>
      <w:proofErr w:type="spellEnd"/>
      <w:r w:rsidRPr="00150DC3">
        <w:rPr>
          <w:rFonts w:eastAsia="Times New Roman" w:cstheme="minorHAnsi"/>
          <w:i/>
          <w:color w:val="555555"/>
          <w:sz w:val="24"/>
          <w:szCs w:val="24"/>
          <w:lang w:eastAsia="es-PE"/>
        </w:rPr>
        <w:t>(reproductores) que debe conservarse en el mar para asegu</w:t>
      </w:r>
      <w:r w:rsidRPr="00D47D60">
        <w:rPr>
          <w:rFonts w:eastAsia="Times New Roman" w:cstheme="minorHAnsi"/>
          <w:i/>
          <w:color w:val="555555"/>
          <w:sz w:val="24"/>
          <w:szCs w:val="24"/>
          <w:lang w:eastAsia="es-PE"/>
        </w:rPr>
        <w:t>rar la reproducción del recurso</w:t>
      </w:r>
      <w:r w:rsidR="00BF7F42" w:rsidRPr="00D47D60">
        <w:rPr>
          <w:rFonts w:eastAsia="Times New Roman" w:cstheme="minorHAnsi"/>
          <w:i/>
          <w:color w:val="555555"/>
          <w:sz w:val="24"/>
          <w:szCs w:val="24"/>
          <w:lang w:eastAsia="es-PE"/>
        </w:rPr>
        <w:t>”</w:t>
      </w:r>
      <w:r w:rsidRPr="00D47D60">
        <w:rPr>
          <w:rFonts w:eastAsia="Times New Roman" w:cstheme="minorHAnsi"/>
          <w:color w:val="555555"/>
          <w:sz w:val="24"/>
          <w:szCs w:val="24"/>
          <w:lang w:eastAsia="es-PE"/>
        </w:rPr>
        <w:t xml:space="preserve">; y que </w:t>
      </w:r>
      <w:r w:rsidRPr="00150DC3">
        <w:rPr>
          <w:rFonts w:eastAsia="Times New Roman" w:cstheme="minorHAnsi"/>
          <w:color w:val="555555"/>
          <w:sz w:val="24"/>
          <w:szCs w:val="24"/>
          <w:lang w:eastAsia="es-PE"/>
        </w:rPr>
        <w:t>"</w:t>
      </w:r>
      <w:r w:rsidRPr="00150DC3">
        <w:rPr>
          <w:rFonts w:eastAsia="Times New Roman" w:cstheme="minorHAnsi"/>
          <w:i/>
          <w:color w:val="555555"/>
          <w:sz w:val="24"/>
          <w:szCs w:val="24"/>
          <w:lang w:eastAsia="es-PE"/>
        </w:rPr>
        <w:t>Técnicamente se t</w:t>
      </w:r>
      <w:r w:rsidRPr="00D47D60">
        <w:rPr>
          <w:rFonts w:eastAsia="Times New Roman" w:cstheme="minorHAnsi"/>
          <w:i/>
          <w:color w:val="555555"/>
          <w:sz w:val="24"/>
          <w:szCs w:val="24"/>
          <w:lang w:eastAsia="es-PE"/>
        </w:rPr>
        <w:t>enía</w:t>
      </w:r>
      <w:r w:rsidRPr="00150DC3">
        <w:rPr>
          <w:rFonts w:eastAsia="Times New Roman" w:cstheme="minorHAnsi"/>
          <w:i/>
          <w:color w:val="555555"/>
          <w:sz w:val="24"/>
          <w:szCs w:val="24"/>
          <w:lang w:eastAsia="es-PE"/>
        </w:rPr>
        <w:t xml:space="preserve"> que decir cero a la cuota"</w:t>
      </w:r>
      <w:r w:rsidRPr="00150DC3">
        <w:rPr>
          <w:rFonts w:eastAsia="Times New Roman" w:cstheme="minorHAnsi"/>
          <w:color w:val="555555"/>
          <w:sz w:val="24"/>
          <w:szCs w:val="24"/>
          <w:lang w:eastAsia="es-PE"/>
        </w:rPr>
        <w:t xml:space="preserve"> debido a que guardar seis millones permite tener mayor cuota para la temporada de abril. No obstante, la ministra explicó que decidió </w:t>
      </w:r>
      <w:r w:rsidR="00533957" w:rsidRPr="00D47D60">
        <w:rPr>
          <w:rFonts w:eastAsia="Times New Roman" w:cstheme="minorHAnsi"/>
          <w:color w:val="555555"/>
          <w:sz w:val="24"/>
          <w:szCs w:val="24"/>
          <w:lang w:eastAsia="es-PE"/>
        </w:rPr>
        <w:t>“</w:t>
      </w:r>
      <w:r w:rsidRPr="00150DC3">
        <w:rPr>
          <w:rFonts w:eastAsia="Times New Roman" w:cstheme="minorHAnsi"/>
          <w:i/>
          <w:color w:val="555555"/>
          <w:sz w:val="24"/>
          <w:szCs w:val="24"/>
          <w:lang w:eastAsia="es-PE"/>
        </w:rPr>
        <w:t>dar una cuota mínima tras evaluar los diferentes actores del sector y midiendo el impacto que podría generar en los trabajadores</w:t>
      </w:r>
      <w:r w:rsidRPr="00D47D60">
        <w:rPr>
          <w:rFonts w:eastAsia="Times New Roman" w:cstheme="minorHAnsi"/>
          <w:i/>
          <w:color w:val="555555"/>
          <w:sz w:val="24"/>
          <w:szCs w:val="24"/>
          <w:lang w:eastAsia="es-PE"/>
        </w:rPr>
        <w:t>”</w:t>
      </w:r>
      <w:r w:rsidRPr="00150DC3">
        <w:rPr>
          <w:rFonts w:eastAsia="Times New Roman" w:cstheme="minorHAnsi"/>
          <w:i/>
          <w:color w:val="555555"/>
          <w:sz w:val="24"/>
          <w:szCs w:val="24"/>
          <w:lang w:eastAsia="es-PE"/>
        </w:rPr>
        <w:t>.</w:t>
      </w:r>
      <w:r w:rsidRPr="00D47D60">
        <w:rPr>
          <w:rFonts w:eastAsia="Times New Roman" w:cstheme="minorHAnsi"/>
          <w:i/>
          <w:color w:val="555555"/>
          <w:sz w:val="24"/>
          <w:szCs w:val="24"/>
          <w:lang w:eastAsia="es-PE"/>
        </w:rPr>
        <w:t xml:space="preserve"> </w:t>
      </w:r>
    </w:p>
    <w:p w:rsidR="00364E88" w:rsidRPr="00D47D60" w:rsidRDefault="00364E88" w:rsidP="00364E88">
      <w:pPr>
        <w:jc w:val="both"/>
        <w:rPr>
          <w:rFonts w:eastAsia="Times New Roman" w:cstheme="minorHAnsi"/>
          <w:color w:val="555555"/>
          <w:sz w:val="24"/>
          <w:szCs w:val="24"/>
          <w:lang w:eastAsia="es-PE"/>
        </w:rPr>
      </w:pPr>
      <w:r w:rsidRPr="00D47D60">
        <w:rPr>
          <w:rFonts w:eastAsia="Times New Roman" w:cstheme="minorHAnsi"/>
          <w:color w:val="555555"/>
          <w:sz w:val="24"/>
          <w:szCs w:val="24"/>
          <w:lang w:eastAsia="es-PE"/>
        </w:rPr>
        <w:t>Muy mala decisión, acceder a las presiones de la Sociedad Nacional de Pesquería, con el argumento que van a perjudicar al sector laboral. Claro, ahora ya no está la Caja del Pescador que auxiliaba a los pescadores en épocas de veda o crisis pesqueras. Los mismos empresarios morosos que dejaron de pagar ingentes deudas de aportes</w:t>
      </w:r>
      <w:r w:rsidR="00533957" w:rsidRPr="00D47D60">
        <w:rPr>
          <w:rFonts w:eastAsia="Times New Roman" w:cstheme="minorHAnsi"/>
          <w:color w:val="555555"/>
          <w:sz w:val="24"/>
          <w:szCs w:val="24"/>
          <w:lang w:eastAsia="es-PE"/>
        </w:rPr>
        <w:t xml:space="preserve"> sociales a dicha entidad</w:t>
      </w:r>
      <w:r w:rsidRPr="00D47D60">
        <w:rPr>
          <w:rFonts w:eastAsia="Times New Roman" w:cstheme="minorHAnsi"/>
          <w:color w:val="555555"/>
          <w:sz w:val="24"/>
          <w:szCs w:val="24"/>
          <w:lang w:eastAsia="es-PE"/>
        </w:rPr>
        <w:t xml:space="preserve"> y los robos y latrocinios cometidos</w:t>
      </w:r>
      <w:r w:rsidR="00667F9A" w:rsidRPr="00D47D60">
        <w:rPr>
          <w:rFonts w:eastAsia="Times New Roman" w:cstheme="minorHAnsi"/>
          <w:color w:val="555555"/>
          <w:sz w:val="24"/>
          <w:szCs w:val="24"/>
          <w:lang w:eastAsia="es-PE"/>
        </w:rPr>
        <w:t xml:space="preserve"> por los directivos</w:t>
      </w:r>
      <w:r w:rsidR="00533957" w:rsidRPr="00D47D60">
        <w:rPr>
          <w:rFonts w:eastAsia="Times New Roman" w:cstheme="minorHAnsi"/>
          <w:color w:val="555555"/>
          <w:sz w:val="24"/>
          <w:szCs w:val="24"/>
          <w:lang w:eastAsia="es-PE"/>
        </w:rPr>
        <w:t xml:space="preserve"> durante los últimos años</w:t>
      </w:r>
      <w:r w:rsidR="00667F9A" w:rsidRPr="00D47D60">
        <w:rPr>
          <w:rFonts w:eastAsia="Times New Roman" w:cstheme="minorHAnsi"/>
          <w:color w:val="555555"/>
          <w:sz w:val="24"/>
          <w:szCs w:val="24"/>
          <w:lang w:eastAsia="es-PE"/>
        </w:rPr>
        <w:t xml:space="preserve"> la lleva</w:t>
      </w:r>
      <w:r w:rsidR="00533957" w:rsidRPr="00D47D60">
        <w:rPr>
          <w:rFonts w:eastAsia="Times New Roman" w:cstheme="minorHAnsi"/>
          <w:color w:val="555555"/>
          <w:sz w:val="24"/>
          <w:szCs w:val="24"/>
          <w:lang w:eastAsia="es-PE"/>
        </w:rPr>
        <w:t>ron</w:t>
      </w:r>
      <w:r w:rsidR="00667F9A" w:rsidRPr="00D47D60">
        <w:rPr>
          <w:rFonts w:eastAsia="Times New Roman" w:cstheme="minorHAnsi"/>
          <w:color w:val="555555"/>
          <w:sz w:val="24"/>
          <w:szCs w:val="24"/>
          <w:lang w:eastAsia="es-PE"/>
        </w:rPr>
        <w:t xml:space="preserve"> a la quiebra</w:t>
      </w:r>
      <w:r w:rsidR="00533957" w:rsidRPr="00D47D60">
        <w:rPr>
          <w:rFonts w:eastAsia="Times New Roman" w:cstheme="minorHAnsi"/>
          <w:color w:val="555555"/>
          <w:sz w:val="24"/>
          <w:szCs w:val="24"/>
          <w:lang w:eastAsia="es-PE"/>
        </w:rPr>
        <w:t xml:space="preserve"> y a la intervención de la Superintendencia de Banca y S</w:t>
      </w:r>
      <w:r w:rsidR="00667F9A" w:rsidRPr="00D47D60">
        <w:rPr>
          <w:rFonts w:eastAsia="Times New Roman" w:cstheme="minorHAnsi"/>
          <w:color w:val="555555"/>
          <w:sz w:val="24"/>
          <w:szCs w:val="24"/>
          <w:lang w:eastAsia="es-PE"/>
        </w:rPr>
        <w:t>eguros para su posterior liquidación.</w:t>
      </w:r>
    </w:p>
    <w:p w:rsidR="00667F9A" w:rsidRPr="00D47D60" w:rsidRDefault="00667F9A" w:rsidP="00667F9A">
      <w:pPr>
        <w:jc w:val="both"/>
        <w:rPr>
          <w:rFonts w:cstheme="minorHAnsi"/>
          <w:sz w:val="24"/>
          <w:szCs w:val="24"/>
        </w:rPr>
      </w:pPr>
      <w:r w:rsidRPr="00D47D60">
        <w:rPr>
          <w:rFonts w:eastAsia="Times New Roman" w:cstheme="minorHAnsi"/>
          <w:color w:val="555555"/>
          <w:sz w:val="24"/>
          <w:szCs w:val="24"/>
          <w:lang w:eastAsia="es-PE"/>
        </w:rPr>
        <w:t xml:space="preserve">Explica la Ministra </w:t>
      </w:r>
      <w:proofErr w:type="spellStart"/>
      <w:r w:rsidRPr="00D47D60">
        <w:rPr>
          <w:rFonts w:eastAsia="Times New Roman" w:cstheme="minorHAnsi"/>
          <w:color w:val="555555"/>
          <w:sz w:val="24"/>
          <w:szCs w:val="24"/>
          <w:lang w:eastAsia="es-PE"/>
        </w:rPr>
        <w:t>Triveli</w:t>
      </w:r>
      <w:proofErr w:type="spellEnd"/>
      <w:r w:rsidRPr="00D47D60">
        <w:rPr>
          <w:rFonts w:eastAsia="Times New Roman" w:cstheme="minorHAnsi"/>
          <w:color w:val="555555"/>
          <w:sz w:val="24"/>
          <w:szCs w:val="24"/>
          <w:lang w:eastAsia="es-PE"/>
        </w:rPr>
        <w:t xml:space="preserve"> que “</w:t>
      </w:r>
      <w:r w:rsidR="00364E88" w:rsidRPr="00150DC3">
        <w:rPr>
          <w:rFonts w:eastAsia="Times New Roman" w:cstheme="minorHAnsi"/>
          <w:i/>
          <w:color w:val="555555"/>
          <w:sz w:val="24"/>
          <w:szCs w:val="24"/>
          <w:lang w:eastAsia="es-PE"/>
        </w:rPr>
        <w:t>Entre las causas de esta reducción de anchoveta está la</w:t>
      </w:r>
      <w:r w:rsidR="00364E88" w:rsidRPr="00D47D60">
        <w:rPr>
          <w:rFonts w:eastAsia="Times New Roman" w:cstheme="minorHAnsi"/>
          <w:i/>
          <w:color w:val="555555"/>
          <w:sz w:val="24"/>
          <w:szCs w:val="24"/>
          <w:lang w:eastAsia="es-PE"/>
        </w:rPr>
        <w:t> </w:t>
      </w:r>
      <w:r w:rsidR="00364E88" w:rsidRPr="00D47D60">
        <w:rPr>
          <w:rFonts w:eastAsia="Times New Roman" w:cstheme="minorHAnsi"/>
          <w:b/>
          <w:bCs/>
          <w:i/>
          <w:color w:val="555555"/>
          <w:sz w:val="24"/>
          <w:szCs w:val="24"/>
          <w:lang w:eastAsia="es-PE"/>
        </w:rPr>
        <w:t>extracción excesiva </w:t>
      </w:r>
      <w:r w:rsidR="00364E88" w:rsidRPr="00150DC3">
        <w:rPr>
          <w:rFonts w:eastAsia="Times New Roman" w:cstheme="minorHAnsi"/>
          <w:i/>
          <w:color w:val="555555"/>
          <w:sz w:val="24"/>
          <w:szCs w:val="24"/>
          <w:lang w:eastAsia="es-PE"/>
        </w:rPr>
        <w:t>por descarte de juveniles en altamar. Esto se refiere a que las embarcaciones pescan y al percatarse de que tienen recurso joven y que su captura será sancionada</w:t>
      </w:r>
      <w:r w:rsidRPr="00D47D60">
        <w:rPr>
          <w:rFonts w:eastAsia="Times New Roman" w:cstheme="minorHAnsi"/>
          <w:i/>
          <w:color w:val="555555"/>
          <w:sz w:val="24"/>
          <w:szCs w:val="24"/>
          <w:lang w:eastAsia="es-PE"/>
        </w:rPr>
        <w:t xml:space="preserve"> (con multas)</w:t>
      </w:r>
      <w:r w:rsidR="00364E88" w:rsidRPr="00150DC3">
        <w:rPr>
          <w:rFonts w:eastAsia="Times New Roman" w:cstheme="minorHAnsi"/>
          <w:i/>
          <w:color w:val="555555"/>
          <w:sz w:val="24"/>
          <w:szCs w:val="24"/>
          <w:lang w:eastAsia="es-PE"/>
        </w:rPr>
        <w:t>, la devuelven al mar y este</w:t>
      </w:r>
      <w:r w:rsidR="00364E88" w:rsidRPr="00D47D60">
        <w:rPr>
          <w:rFonts w:eastAsia="Times New Roman" w:cstheme="minorHAnsi"/>
          <w:i/>
          <w:color w:val="555555"/>
          <w:sz w:val="24"/>
          <w:szCs w:val="24"/>
          <w:lang w:eastAsia="es-PE"/>
        </w:rPr>
        <w:t> </w:t>
      </w:r>
      <w:r w:rsidR="00364E88" w:rsidRPr="00D47D60">
        <w:rPr>
          <w:rFonts w:eastAsia="Times New Roman" w:cstheme="minorHAnsi"/>
          <w:b/>
          <w:bCs/>
          <w:i/>
          <w:color w:val="555555"/>
          <w:sz w:val="24"/>
          <w:szCs w:val="24"/>
          <w:lang w:eastAsia="es-PE"/>
        </w:rPr>
        <w:t>recurso se pierde</w:t>
      </w:r>
      <w:r w:rsidR="00533957" w:rsidRPr="00D47D60">
        <w:rPr>
          <w:rFonts w:eastAsia="Times New Roman" w:cstheme="minorHAnsi"/>
          <w:b/>
          <w:bCs/>
          <w:i/>
          <w:color w:val="555555"/>
          <w:sz w:val="24"/>
          <w:szCs w:val="24"/>
          <w:lang w:eastAsia="es-PE"/>
        </w:rPr>
        <w:t>”</w:t>
      </w:r>
      <w:r w:rsidR="00533957" w:rsidRPr="00D47D60">
        <w:rPr>
          <w:rFonts w:eastAsia="Times New Roman" w:cstheme="minorHAnsi"/>
          <w:i/>
          <w:color w:val="555555"/>
          <w:sz w:val="24"/>
          <w:szCs w:val="24"/>
          <w:lang w:eastAsia="es-PE"/>
        </w:rPr>
        <w:t xml:space="preserve"> </w:t>
      </w:r>
      <w:r w:rsidR="00533957" w:rsidRPr="00D47D60">
        <w:rPr>
          <w:rFonts w:eastAsia="Times New Roman" w:cstheme="minorHAnsi"/>
          <w:color w:val="555555"/>
          <w:sz w:val="24"/>
          <w:szCs w:val="24"/>
          <w:lang w:eastAsia="es-PE"/>
        </w:rPr>
        <w:t>(Sic)</w:t>
      </w:r>
    </w:p>
    <w:p w:rsidR="00364E88" w:rsidRPr="00D47D60" w:rsidRDefault="00667F9A" w:rsidP="00225C40">
      <w:pPr>
        <w:jc w:val="both"/>
        <w:rPr>
          <w:rFonts w:cstheme="minorHAnsi"/>
          <w:sz w:val="24"/>
          <w:szCs w:val="24"/>
        </w:rPr>
      </w:pPr>
      <w:r w:rsidRPr="00D47D60">
        <w:rPr>
          <w:rFonts w:cstheme="minorHAnsi"/>
          <w:sz w:val="24"/>
          <w:szCs w:val="24"/>
        </w:rPr>
        <w:lastRenderedPageBreak/>
        <w:t>Esta también “</w:t>
      </w:r>
      <w:r w:rsidRPr="00150DC3">
        <w:rPr>
          <w:rFonts w:eastAsia="Times New Roman" w:cstheme="minorHAnsi"/>
          <w:i/>
          <w:color w:val="555555"/>
          <w:sz w:val="24"/>
          <w:szCs w:val="24"/>
          <w:lang w:eastAsia="es-PE"/>
        </w:rPr>
        <w:t xml:space="preserve">El factor climático </w:t>
      </w:r>
      <w:r w:rsidRPr="00D47D60">
        <w:rPr>
          <w:rFonts w:eastAsia="Times New Roman" w:cstheme="minorHAnsi"/>
          <w:i/>
          <w:color w:val="555555"/>
          <w:sz w:val="24"/>
          <w:szCs w:val="24"/>
          <w:lang w:eastAsia="es-PE"/>
        </w:rPr>
        <w:t>…que</w:t>
      </w:r>
      <w:r w:rsidRPr="00150DC3">
        <w:rPr>
          <w:rFonts w:eastAsia="Times New Roman" w:cstheme="minorHAnsi"/>
          <w:i/>
          <w:color w:val="555555"/>
          <w:sz w:val="24"/>
          <w:szCs w:val="24"/>
          <w:lang w:eastAsia="es-PE"/>
        </w:rPr>
        <w:t xml:space="preserve"> afecta al recurso puesto que</w:t>
      </w:r>
      <w:r w:rsidRPr="00D47D60">
        <w:rPr>
          <w:rFonts w:eastAsia="Times New Roman" w:cstheme="minorHAnsi"/>
          <w:i/>
          <w:color w:val="555555"/>
          <w:sz w:val="24"/>
          <w:szCs w:val="24"/>
          <w:lang w:eastAsia="es-PE"/>
        </w:rPr>
        <w:t> </w:t>
      </w:r>
      <w:r w:rsidRPr="00D47D60">
        <w:rPr>
          <w:rFonts w:eastAsia="Times New Roman" w:cstheme="minorHAnsi"/>
          <w:b/>
          <w:bCs/>
          <w:i/>
          <w:color w:val="555555"/>
          <w:sz w:val="24"/>
          <w:szCs w:val="24"/>
          <w:lang w:eastAsia="es-PE"/>
        </w:rPr>
        <w:t>no hay un ambiente propicio</w:t>
      </w:r>
      <w:r w:rsidR="00533957" w:rsidRPr="00D47D60">
        <w:rPr>
          <w:rFonts w:eastAsia="Times New Roman" w:cstheme="minorHAnsi"/>
          <w:b/>
          <w:bCs/>
          <w:i/>
          <w:color w:val="555555"/>
          <w:sz w:val="24"/>
          <w:szCs w:val="24"/>
          <w:lang w:eastAsia="es-PE"/>
        </w:rPr>
        <w:t xml:space="preserve"> </w:t>
      </w:r>
      <w:r w:rsidRPr="00150DC3">
        <w:rPr>
          <w:rFonts w:eastAsia="Times New Roman" w:cstheme="minorHAnsi"/>
          <w:i/>
          <w:color w:val="555555"/>
          <w:sz w:val="24"/>
          <w:szCs w:val="24"/>
          <w:lang w:eastAsia="es-PE"/>
        </w:rPr>
        <w:t>para el crecimiento de la anchoveta  debido al ingreso de aguas calientes al mar peruano</w:t>
      </w:r>
      <w:r w:rsidRPr="00D47D60">
        <w:rPr>
          <w:rFonts w:eastAsia="Times New Roman" w:cstheme="minorHAnsi"/>
          <w:i/>
          <w:color w:val="555555"/>
          <w:sz w:val="24"/>
          <w:szCs w:val="24"/>
          <w:lang w:eastAsia="es-PE"/>
        </w:rPr>
        <w:t>”</w:t>
      </w:r>
      <w:r w:rsidRPr="00D47D60">
        <w:rPr>
          <w:rFonts w:eastAsia="Times New Roman" w:cstheme="minorHAnsi"/>
          <w:color w:val="555555"/>
          <w:sz w:val="24"/>
          <w:szCs w:val="24"/>
          <w:lang w:eastAsia="es-PE"/>
        </w:rPr>
        <w:t>, la Mini</w:t>
      </w:r>
      <w:r w:rsidR="00533957" w:rsidRPr="00D47D60">
        <w:rPr>
          <w:rFonts w:eastAsia="Times New Roman" w:cstheme="minorHAnsi"/>
          <w:color w:val="555555"/>
          <w:sz w:val="24"/>
          <w:szCs w:val="24"/>
          <w:lang w:eastAsia="es-PE"/>
        </w:rPr>
        <w:t>stra</w:t>
      </w:r>
      <w:r w:rsidRPr="00D47D60">
        <w:rPr>
          <w:rFonts w:eastAsia="Times New Roman" w:cstheme="minorHAnsi"/>
          <w:color w:val="555555"/>
          <w:sz w:val="24"/>
          <w:szCs w:val="24"/>
          <w:lang w:eastAsia="es-PE"/>
        </w:rPr>
        <w:t xml:space="preserve"> concluye diciendo que </w:t>
      </w:r>
      <w:r w:rsidRPr="00D47D60">
        <w:rPr>
          <w:rFonts w:eastAsia="Times New Roman" w:cstheme="minorHAnsi"/>
          <w:b/>
          <w:bCs/>
          <w:color w:val="555555"/>
          <w:sz w:val="24"/>
          <w:szCs w:val="24"/>
          <w:lang w:eastAsia="es-PE"/>
        </w:rPr>
        <w:t>"Tomamos la decisión de dar una cuota mínima, asumiendo más responsabilidades en la supervisión"</w:t>
      </w:r>
      <w:r w:rsidR="00BF7F42" w:rsidRPr="00D47D60">
        <w:rPr>
          <w:rFonts w:eastAsia="Times New Roman" w:cstheme="minorHAnsi"/>
          <w:b/>
          <w:bCs/>
          <w:color w:val="555555"/>
          <w:sz w:val="24"/>
          <w:szCs w:val="24"/>
          <w:lang w:eastAsia="es-PE"/>
        </w:rPr>
        <w:t xml:space="preserve"> </w:t>
      </w:r>
      <w:r w:rsidR="00BF7F42" w:rsidRPr="00D47D60">
        <w:rPr>
          <w:rFonts w:eastAsia="Times New Roman" w:cstheme="minorHAnsi"/>
          <w:bCs/>
          <w:color w:val="555555"/>
          <w:sz w:val="24"/>
          <w:szCs w:val="24"/>
          <w:lang w:eastAsia="es-PE"/>
        </w:rPr>
        <w:t>(SIC).</w:t>
      </w:r>
    </w:p>
    <w:p w:rsidR="00076063" w:rsidRPr="00D47D60" w:rsidRDefault="00076063" w:rsidP="00225C40">
      <w:pPr>
        <w:jc w:val="both"/>
        <w:rPr>
          <w:rFonts w:cstheme="minorHAnsi"/>
          <w:sz w:val="24"/>
          <w:szCs w:val="24"/>
        </w:rPr>
      </w:pPr>
      <w:r w:rsidRPr="00D47D60">
        <w:rPr>
          <w:rFonts w:cstheme="minorHAnsi"/>
          <w:sz w:val="24"/>
          <w:szCs w:val="24"/>
        </w:rPr>
        <w:t xml:space="preserve"> La actual flota</w:t>
      </w:r>
      <w:r w:rsidR="00793D04" w:rsidRPr="00D47D60">
        <w:rPr>
          <w:rFonts w:cstheme="minorHAnsi"/>
          <w:sz w:val="24"/>
          <w:szCs w:val="24"/>
        </w:rPr>
        <w:t xml:space="preserve"> pesquera</w:t>
      </w:r>
      <w:r w:rsidRPr="00D47D60">
        <w:rPr>
          <w:rFonts w:cstheme="minorHAnsi"/>
          <w:sz w:val="24"/>
          <w:szCs w:val="24"/>
        </w:rPr>
        <w:t xml:space="preserve"> tiene una capacidad de captura de</w:t>
      </w:r>
      <w:r w:rsidR="00793D04" w:rsidRPr="00D47D60">
        <w:rPr>
          <w:rFonts w:cstheme="minorHAnsi"/>
          <w:sz w:val="24"/>
          <w:szCs w:val="24"/>
        </w:rPr>
        <w:t xml:space="preserve"> más de</w:t>
      </w:r>
      <w:r w:rsidRPr="00D47D60">
        <w:rPr>
          <w:rFonts w:cstheme="minorHAnsi"/>
          <w:sz w:val="24"/>
          <w:szCs w:val="24"/>
        </w:rPr>
        <w:t xml:space="preserve"> </w:t>
      </w:r>
      <w:r w:rsidR="00793D04" w:rsidRPr="00D47D60">
        <w:rPr>
          <w:rFonts w:cstheme="minorHAnsi"/>
          <w:sz w:val="24"/>
          <w:szCs w:val="24"/>
        </w:rPr>
        <w:t>2</w:t>
      </w:r>
      <w:r w:rsidRPr="00D47D60">
        <w:rPr>
          <w:rFonts w:cstheme="minorHAnsi"/>
          <w:sz w:val="24"/>
          <w:szCs w:val="24"/>
        </w:rPr>
        <w:t xml:space="preserve">50 mil toneladas diarias. Por lo tanto esta pequeña cuota la podrán cubrir con </w:t>
      </w:r>
      <w:r w:rsidR="00793D04" w:rsidRPr="00D47D60">
        <w:rPr>
          <w:rFonts w:cstheme="minorHAnsi"/>
          <w:sz w:val="24"/>
          <w:szCs w:val="24"/>
        </w:rPr>
        <w:t>cuatro</w:t>
      </w:r>
      <w:r w:rsidRPr="00D47D60">
        <w:rPr>
          <w:rFonts w:cstheme="minorHAnsi"/>
          <w:sz w:val="24"/>
          <w:szCs w:val="24"/>
        </w:rPr>
        <w:t xml:space="preserve"> (o</w:t>
      </w:r>
      <w:r w:rsidR="009D24C7" w:rsidRPr="00D47D60">
        <w:rPr>
          <w:rFonts w:cstheme="minorHAnsi"/>
          <w:sz w:val="24"/>
          <w:szCs w:val="24"/>
        </w:rPr>
        <w:t>4</w:t>
      </w:r>
      <w:r w:rsidRPr="00D47D60">
        <w:rPr>
          <w:rFonts w:cstheme="minorHAnsi"/>
          <w:sz w:val="24"/>
          <w:szCs w:val="24"/>
        </w:rPr>
        <w:t xml:space="preserve">) salidas, es decir </w:t>
      </w:r>
      <w:r w:rsidR="00793D04" w:rsidRPr="00D47D60">
        <w:rPr>
          <w:rFonts w:cstheme="minorHAnsi"/>
          <w:sz w:val="24"/>
          <w:szCs w:val="24"/>
        </w:rPr>
        <w:t>cuatro</w:t>
      </w:r>
      <w:r w:rsidRPr="00D47D60">
        <w:rPr>
          <w:rFonts w:cstheme="minorHAnsi"/>
          <w:sz w:val="24"/>
          <w:szCs w:val="24"/>
        </w:rPr>
        <w:t xml:space="preserve"> días de faenas de pesca</w:t>
      </w:r>
      <w:r w:rsidR="00793D04" w:rsidRPr="00D47D60">
        <w:rPr>
          <w:rFonts w:cstheme="minorHAnsi"/>
          <w:sz w:val="24"/>
          <w:szCs w:val="24"/>
        </w:rPr>
        <w:t xml:space="preserve"> y “</w:t>
      </w:r>
      <w:proofErr w:type="spellStart"/>
      <w:r w:rsidR="00793D04" w:rsidRPr="00D47D60">
        <w:rPr>
          <w:rFonts w:cstheme="minorHAnsi"/>
          <w:sz w:val="24"/>
          <w:szCs w:val="24"/>
        </w:rPr>
        <w:t>zacatrán</w:t>
      </w:r>
      <w:proofErr w:type="spellEnd"/>
      <w:r w:rsidR="00793D04" w:rsidRPr="00D47D60">
        <w:rPr>
          <w:rFonts w:cstheme="minorHAnsi"/>
          <w:sz w:val="24"/>
          <w:szCs w:val="24"/>
        </w:rPr>
        <w:t xml:space="preserve">” se </w:t>
      </w:r>
      <w:r w:rsidR="001D6499" w:rsidRPr="00D47D60">
        <w:rPr>
          <w:rFonts w:cstheme="minorHAnsi"/>
          <w:sz w:val="24"/>
          <w:szCs w:val="24"/>
        </w:rPr>
        <w:t>acabo la cuota social.</w:t>
      </w:r>
    </w:p>
    <w:p w:rsidR="0016611F" w:rsidRPr="00D47D60" w:rsidRDefault="00076063" w:rsidP="00225C40">
      <w:pPr>
        <w:jc w:val="both"/>
        <w:rPr>
          <w:rFonts w:cstheme="minorHAnsi"/>
          <w:sz w:val="24"/>
          <w:szCs w:val="24"/>
        </w:rPr>
      </w:pPr>
      <w:r w:rsidRPr="00D47D60">
        <w:rPr>
          <w:rFonts w:cstheme="minorHAnsi"/>
          <w:sz w:val="24"/>
          <w:szCs w:val="24"/>
        </w:rPr>
        <w:t xml:space="preserve">El cuadro estadístico que presenta </w:t>
      </w:r>
      <w:r w:rsidR="00793D04" w:rsidRPr="00D47D60">
        <w:rPr>
          <w:rFonts w:cstheme="minorHAnsi"/>
          <w:sz w:val="24"/>
          <w:szCs w:val="24"/>
        </w:rPr>
        <w:t>la nota</w:t>
      </w:r>
      <w:r w:rsidRPr="00D47D60">
        <w:rPr>
          <w:rFonts w:cstheme="minorHAnsi"/>
          <w:sz w:val="24"/>
          <w:szCs w:val="24"/>
        </w:rPr>
        <w:t xml:space="preserve"> de “La República” </w:t>
      </w:r>
      <w:r w:rsidR="00793D04" w:rsidRPr="00D47D60">
        <w:rPr>
          <w:rFonts w:cstheme="minorHAnsi"/>
          <w:sz w:val="24"/>
          <w:szCs w:val="24"/>
        </w:rPr>
        <w:t xml:space="preserve"> (ver más abajo) </w:t>
      </w:r>
      <w:r w:rsidRPr="00D47D60">
        <w:rPr>
          <w:rFonts w:cstheme="minorHAnsi"/>
          <w:sz w:val="24"/>
          <w:szCs w:val="24"/>
        </w:rPr>
        <w:t>se refiere sólo a las cuotas históricas que ha aprobado PRODUCE para esta última temporada de</w:t>
      </w:r>
      <w:r w:rsidR="001D6499" w:rsidRPr="00D47D60">
        <w:rPr>
          <w:rFonts w:cstheme="minorHAnsi"/>
          <w:sz w:val="24"/>
          <w:szCs w:val="24"/>
        </w:rPr>
        <w:t xml:space="preserve"> cada</w:t>
      </w:r>
      <w:r w:rsidRPr="00D47D60">
        <w:rPr>
          <w:rFonts w:cstheme="minorHAnsi"/>
          <w:sz w:val="24"/>
          <w:szCs w:val="24"/>
        </w:rPr>
        <w:t xml:space="preserve"> año y no a la captura total por año.</w:t>
      </w:r>
      <w:r w:rsidR="009D24C7" w:rsidRPr="00D47D60">
        <w:rPr>
          <w:rFonts w:cstheme="minorHAnsi"/>
          <w:sz w:val="24"/>
          <w:szCs w:val="24"/>
        </w:rPr>
        <w:t xml:space="preserve"> Si es preocupante en el </w:t>
      </w:r>
      <w:r w:rsidR="001D6499" w:rsidRPr="00D47D60">
        <w:rPr>
          <w:rFonts w:cstheme="minorHAnsi"/>
          <w:sz w:val="24"/>
          <w:szCs w:val="24"/>
        </w:rPr>
        <w:t>gráfico</w:t>
      </w:r>
      <w:r w:rsidR="009D24C7" w:rsidRPr="00D47D60">
        <w:rPr>
          <w:rFonts w:cstheme="minorHAnsi"/>
          <w:sz w:val="24"/>
          <w:szCs w:val="24"/>
        </w:rPr>
        <w:t xml:space="preserve"> (parte superior derecha) que la biomasa de anchoveta se ha reducido </w:t>
      </w:r>
      <w:r w:rsidR="002C1A2B" w:rsidRPr="00D47D60">
        <w:rPr>
          <w:rFonts w:cstheme="minorHAnsi"/>
          <w:sz w:val="24"/>
          <w:szCs w:val="24"/>
        </w:rPr>
        <w:t xml:space="preserve">en 41%, es decir </w:t>
      </w:r>
      <w:r w:rsidR="009D24C7" w:rsidRPr="00D47D60">
        <w:rPr>
          <w:rFonts w:cstheme="minorHAnsi"/>
          <w:sz w:val="24"/>
          <w:szCs w:val="24"/>
        </w:rPr>
        <w:t>de</w:t>
      </w:r>
      <w:r w:rsidR="002C1A2B" w:rsidRPr="00D47D60">
        <w:rPr>
          <w:rFonts w:cstheme="minorHAnsi"/>
          <w:sz w:val="24"/>
          <w:szCs w:val="24"/>
        </w:rPr>
        <w:t xml:space="preserve"> 7-10 Millones de TM a 4-6 Millones de TM</w:t>
      </w:r>
      <w:r w:rsidR="00D47D60">
        <w:rPr>
          <w:rFonts w:cstheme="minorHAnsi"/>
          <w:sz w:val="24"/>
          <w:szCs w:val="24"/>
        </w:rPr>
        <w:t xml:space="preserve"> (información oficial del propio Ministerio de la Producción)</w:t>
      </w:r>
      <w:r w:rsidR="002C1A2B" w:rsidRPr="00D47D60">
        <w:rPr>
          <w:rFonts w:cstheme="minorHAnsi"/>
          <w:sz w:val="24"/>
          <w:szCs w:val="24"/>
        </w:rPr>
        <w:t>, lo que</w:t>
      </w:r>
      <w:r w:rsidR="00D47D60">
        <w:rPr>
          <w:rFonts w:cstheme="minorHAnsi"/>
          <w:sz w:val="24"/>
          <w:szCs w:val="24"/>
        </w:rPr>
        <w:t xml:space="preserve"> es</w:t>
      </w:r>
      <w:r w:rsidR="002C1A2B" w:rsidRPr="00D47D60">
        <w:rPr>
          <w:rFonts w:cstheme="minorHAnsi"/>
          <w:sz w:val="24"/>
          <w:szCs w:val="24"/>
        </w:rPr>
        <w:t xml:space="preserve"> sumamente grave y podría ser el comenzó de la depredación de la especie como ya ocurrió en la década del 70 donde se pescaron más de 12 millones de toneladas y en los años siguientes la anchoveta desapareció de nuestro mares generando una crisis pesquera sin precedentes.</w:t>
      </w:r>
      <w:r w:rsidR="009D24C7" w:rsidRPr="00D47D60">
        <w:rPr>
          <w:rFonts w:cstheme="minorHAnsi"/>
          <w:sz w:val="24"/>
          <w:szCs w:val="24"/>
        </w:rPr>
        <w:t xml:space="preserve"> </w:t>
      </w:r>
    </w:p>
    <w:p w:rsidR="00533957" w:rsidRDefault="00533957" w:rsidP="00225C40">
      <w:pPr>
        <w:jc w:val="both"/>
        <w:rPr>
          <w:sz w:val="24"/>
          <w:szCs w:val="24"/>
        </w:rPr>
      </w:pPr>
    </w:p>
    <w:p w:rsidR="00533957" w:rsidRDefault="00533957" w:rsidP="00225C40">
      <w:pPr>
        <w:jc w:val="both"/>
        <w:rPr>
          <w:sz w:val="24"/>
          <w:szCs w:val="24"/>
        </w:rPr>
      </w:pPr>
      <w:r w:rsidRPr="00533957">
        <w:rPr>
          <w:noProof/>
          <w:sz w:val="24"/>
          <w:szCs w:val="24"/>
          <w:lang w:eastAsia="es-PE"/>
        </w:rPr>
        <w:drawing>
          <wp:inline distT="0" distB="0" distL="0" distR="0">
            <wp:extent cx="2859405" cy="2183765"/>
            <wp:effectExtent l="19050" t="0" r="0" b="0"/>
            <wp:docPr id="2" name="Imagen 1" descr="Cuotas historicas de temporadas de anchovet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otas historicas de temporadas de anchovet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8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957" w:rsidRDefault="00D47D60" w:rsidP="00D47D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Fuente: PRODUCE</w:t>
      </w:r>
    </w:p>
    <w:p w:rsidR="00D47D60" w:rsidRDefault="00D47D60" w:rsidP="00D47D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Publicado por: Diario “La República”</w:t>
      </w:r>
    </w:p>
    <w:p w:rsidR="00533957" w:rsidRDefault="00533957" w:rsidP="00225C40">
      <w:pPr>
        <w:jc w:val="both"/>
        <w:rPr>
          <w:sz w:val="24"/>
          <w:szCs w:val="24"/>
        </w:rPr>
      </w:pPr>
    </w:p>
    <w:p w:rsidR="00793D04" w:rsidRDefault="00793D04" w:rsidP="00225C40">
      <w:pPr>
        <w:jc w:val="both"/>
        <w:rPr>
          <w:sz w:val="24"/>
          <w:szCs w:val="24"/>
        </w:rPr>
      </w:pPr>
      <w:r>
        <w:rPr>
          <w:sz w:val="24"/>
          <w:szCs w:val="24"/>
        </w:rPr>
        <w:t>Las verdaderas capturas por año son como se observa en el Cuadro siguiente</w:t>
      </w:r>
      <w:r w:rsidR="00137B8F">
        <w:rPr>
          <w:sz w:val="24"/>
          <w:szCs w:val="24"/>
        </w:rPr>
        <w:t xml:space="preserve"> </w:t>
      </w:r>
      <w:r>
        <w:rPr>
          <w:sz w:val="24"/>
          <w:szCs w:val="24"/>
        </w:rPr>
        <w:t>preparado en base a estadísticas de pesca del propio Ministerio de la Producción. Se observa que en 10 años, del 2001 al 2010 la captura de anchoveta se redujo en</w:t>
      </w:r>
      <w:r w:rsidR="00792FF1">
        <w:rPr>
          <w:sz w:val="24"/>
          <w:szCs w:val="24"/>
        </w:rPr>
        <w:t xml:space="preserve"> 46%, observándose sobrepesca entre los años 2004</w:t>
      </w:r>
      <w:r w:rsidR="00533957">
        <w:rPr>
          <w:sz w:val="24"/>
          <w:szCs w:val="24"/>
        </w:rPr>
        <w:t xml:space="preserve"> al</w:t>
      </w:r>
      <w:r w:rsidR="00792FF1">
        <w:rPr>
          <w:sz w:val="24"/>
          <w:szCs w:val="24"/>
        </w:rPr>
        <w:t xml:space="preserve"> 2008 con capturas superiores a los 8 millones de TM</w:t>
      </w:r>
      <w:r w:rsidR="00137B8F">
        <w:rPr>
          <w:sz w:val="24"/>
          <w:szCs w:val="24"/>
        </w:rPr>
        <w:t xml:space="preserve">, y </w:t>
      </w:r>
      <w:r w:rsidR="00137B8F">
        <w:rPr>
          <w:sz w:val="24"/>
          <w:szCs w:val="24"/>
        </w:rPr>
        <w:lastRenderedPageBreak/>
        <w:t>claro el atractivo es el precio por TM de harina en el mercado internacional que ya supera</w:t>
      </w:r>
      <w:r w:rsidR="00225C40">
        <w:rPr>
          <w:sz w:val="24"/>
          <w:szCs w:val="24"/>
        </w:rPr>
        <w:t>ba</w:t>
      </w:r>
      <w:r w:rsidR="00137B8F">
        <w:rPr>
          <w:sz w:val="24"/>
          <w:szCs w:val="24"/>
        </w:rPr>
        <w:t xml:space="preserve"> los</w:t>
      </w:r>
      <w:r w:rsidR="00225C40">
        <w:rPr>
          <w:sz w:val="24"/>
          <w:szCs w:val="24"/>
        </w:rPr>
        <w:t xml:space="preserve"> </w:t>
      </w:r>
      <w:r w:rsidR="00137B8F">
        <w:rPr>
          <w:sz w:val="24"/>
          <w:szCs w:val="24"/>
        </w:rPr>
        <w:t>1,700 dólares US$/TM</w:t>
      </w:r>
      <w:r w:rsidR="00CA080E">
        <w:rPr>
          <w:sz w:val="24"/>
          <w:szCs w:val="24"/>
        </w:rPr>
        <w:t xml:space="preserve"> al mes de Setiembre</w:t>
      </w:r>
      <w:r w:rsidR="00BA1A3D">
        <w:rPr>
          <w:sz w:val="24"/>
          <w:szCs w:val="24"/>
        </w:rPr>
        <w:t xml:space="preserve"> de este año</w:t>
      </w:r>
      <w:r w:rsidR="00137B8F">
        <w:rPr>
          <w:sz w:val="24"/>
          <w:szCs w:val="24"/>
        </w:rPr>
        <w:t>.</w:t>
      </w:r>
    </w:p>
    <w:p w:rsidR="00755F5D" w:rsidRDefault="00755F5D" w:rsidP="00225C40">
      <w:pPr>
        <w:jc w:val="both"/>
        <w:rPr>
          <w:sz w:val="24"/>
          <w:szCs w:val="24"/>
        </w:rPr>
      </w:pPr>
    </w:p>
    <w:p w:rsidR="00755F5D" w:rsidRDefault="00755F5D" w:rsidP="00755F5D">
      <w:pPr>
        <w:spacing w:after="0"/>
        <w:jc w:val="center"/>
        <w:rPr>
          <w:b/>
          <w:sz w:val="24"/>
          <w:szCs w:val="24"/>
        </w:rPr>
      </w:pPr>
      <w:r w:rsidRPr="00755F5D">
        <w:rPr>
          <w:b/>
          <w:sz w:val="24"/>
          <w:szCs w:val="24"/>
        </w:rPr>
        <w:t>CAPTURA DE ANCHOVETA EN LOS ÚLTIMOS 12 AÑOS</w:t>
      </w:r>
    </w:p>
    <w:p w:rsidR="0016611F" w:rsidRPr="005A5B94" w:rsidRDefault="00755F5D" w:rsidP="005A5B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16611F" w:rsidRPr="005A5B94">
        <w:rPr>
          <w:b/>
          <w:sz w:val="24"/>
          <w:szCs w:val="24"/>
        </w:rPr>
        <w:t>En Miles de Toneladas Métricas</w:t>
      </w:r>
      <w:r>
        <w:rPr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/>
      </w:tblPr>
      <w:tblGrid>
        <w:gridCol w:w="959"/>
        <w:gridCol w:w="2631"/>
        <w:gridCol w:w="1196"/>
        <w:gridCol w:w="2396"/>
        <w:gridCol w:w="1796"/>
      </w:tblGrid>
      <w:tr w:rsidR="0016611F" w:rsidTr="0016611F">
        <w:tc>
          <w:tcPr>
            <w:tcW w:w="959" w:type="dxa"/>
          </w:tcPr>
          <w:p w:rsidR="0016611F" w:rsidRDefault="0016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Año</w:t>
            </w:r>
          </w:p>
        </w:tc>
        <w:tc>
          <w:tcPr>
            <w:tcW w:w="2631" w:type="dxa"/>
          </w:tcPr>
          <w:p w:rsidR="0016611F" w:rsidRDefault="0016611F" w:rsidP="00E63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 Industrial.</w:t>
            </w:r>
          </w:p>
          <w:p w:rsidR="0016611F" w:rsidRDefault="0016611F" w:rsidP="00E63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Anchoveta</w:t>
            </w:r>
          </w:p>
        </w:tc>
        <w:tc>
          <w:tcPr>
            <w:tcW w:w="1196" w:type="dxa"/>
          </w:tcPr>
          <w:p w:rsidR="0016611F" w:rsidRDefault="0016611F" w:rsidP="008E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396" w:type="dxa"/>
          </w:tcPr>
          <w:p w:rsidR="0016611F" w:rsidRDefault="0016611F" w:rsidP="000E1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 de Consumo Humano. otras especies</w:t>
            </w:r>
            <w:r w:rsidR="00E631C5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1796" w:type="dxa"/>
          </w:tcPr>
          <w:p w:rsidR="0016611F" w:rsidRDefault="0016611F" w:rsidP="008E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16611F" w:rsidTr="0016611F">
        <w:tc>
          <w:tcPr>
            <w:tcW w:w="959" w:type="dxa"/>
          </w:tcPr>
          <w:p w:rsidR="0016611F" w:rsidRDefault="0016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2631" w:type="dxa"/>
          </w:tcPr>
          <w:p w:rsidR="0016611F" w:rsidRDefault="0016611F" w:rsidP="00E63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7’208.0</w:t>
            </w:r>
          </w:p>
        </w:tc>
        <w:tc>
          <w:tcPr>
            <w:tcW w:w="1196" w:type="dxa"/>
          </w:tcPr>
          <w:p w:rsidR="0016611F" w:rsidRDefault="00BA1A3D" w:rsidP="008E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90.1</w:t>
            </w:r>
          </w:p>
        </w:tc>
        <w:tc>
          <w:tcPr>
            <w:tcW w:w="2396" w:type="dxa"/>
          </w:tcPr>
          <w:p w:rsidR="0016611F" w:rsidRDefault="0016611F" w:rsidP="000E1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786.5</w:t>
            </w:r>
          </w:p>
        </w:tc>
        <w:tc>
          <w:tcPr>
            <w:tcW w:w="1796" w:type="dxa"/>
          </w:tcPr>
          <w:p w:rsidR="0016611F" w:rsidRDefault="00BA1A3D" w:rsidP="008E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</w:t>
            </w:r>
          </w:p>
        </w:tc>
      </w:tr>
      <w:tr w:rsidR="0016611F" w:rsidTr="0016611F">
        <w:tc>
          <w:tcPr>
            <w:tcW w:w="959" w:type="dxa"/>
          </w:tcPr>
          <w:p w:rsidR="0016611F" w:rsidRDefault="0016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2631" w:type="dxa"/>
          </w:tcPr>
          <w:p w:rsidR="0016611F" w:rsidRDefault="0016611F" w:rsidP="00E63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8’556.8</w:t>
            </w:r>
          </w:p>
        </w:tc>
        <w:tc>
          <w:tcPr>
            <w:tcW w:w="1196" w:type="dxa"/>
          </w:tcPr>
          <w:p w:rsidR="0016611F" w:rsidRDefault="00BA1A3D" w:rsidP="008E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93.6</w:t>
            </w:r>
          </w:p>
        </w:tc>
        <w:tc>
          <w:tcPr>
            <w:tcW w:w="2396" w:type="dxa"/>
          </w:tcPr>
          <w:p w:rsidR="0016611F" w:rsidRDefault="0016611F" w:rsidP="000E1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617.7</w:t>
            </w:r>
          </w:p>
        </w:tc>
        <w:tc>
          <w:tcPr>
            <w:tcW w:w="1796" w:type="dxa"/>
          </w:tcPr>
          <w:p w:rsidR="0016611F" w:rsidRDefault="00BA1A3D" w:rsidP="008E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</w:tr>
      <w:tr w:rsidR="0016611F" w:rsidTr="0016611F">
        <w:tc>
          <w:tcPr>
            <w:tcW w:w="959" w:type="dxa"/>
          </w:tcPr>
          <w:p w:rsidR="0016611F" w:rsidRDefault="0016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2631" w:type="dxa"/>
          </w:tcPr>
          <w:p w:rsidR="0016611F" w:rsidRDefault="0016611F" w:rsidP="00E63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5’347.0</w:t>
            </w:r>
          </w:p>
        </w:tc>
        <w:tc>
          <w:tcPr>
            <w:tcW w:w="1196" w:type="dxa"/>
          </w:tcPr>
          <w:p w:rsidR="0016611F" w:rsidRDefault="00BA1A3D" w:rsidP="008E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87.9</w:t>
            </w:r>
          </w:p>
        </w:tc>
        <w:tc>
          <w:tcPr>
            <w:tcW w:w="2396" w:type="dxa"/>
          </w:tcPr>
          <w:p w:rsidR="0016611F" w:rsidRDefault="0016611F" w:rsidP="000E1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750.5</w:t>
            </w:r>
          </w:p>
        </w:tc>
        <w:tc>
          <w:tcPr>
            <w:tcW w:w="1796" w:type="dxa"/>
          </w:tcPr>
          <w:p w:rsidR="0016611F" w:rsidRDefault="008E5157" w:rsidP="008E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A1A3D">
              <w:rPr>
                <w:sz w:val="24"/>
                <w:szCs w:val="24"/>
              </w:rPr>
              <w:t>12.1</w:t>
            </w:r>
          </w:p>
        </w:tc>
      </w:tr>
      <w:tr w:rsidR="0016611F" w:rsidTr="0016611F">
        <w:tc>
          <w:tcPr>
            <w:tcW w:w="959" w:type="dxa"/>
          </w:tcPr>
          <w:p w:rsidR="0016611F" w:rsidRDefault="0016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631" w:type="dxa"/>
          </w:tcPr>
          <w:p w:rsidR="0016611F" w:rsidRDefault="0016611F" w:rsidP="00E63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8’</w:t>
            </w:r>
            <w:r w:rsidR="00E631C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10.6</w:t>
            </w:r>
          </w:p>
        </w:tc>
        <w:tc>
          <w:tcPr>
            <w:tcW w:w="1196" w:type="dxa"/>
          </w:tcPr>
          <w:p w:rsidR="0016611F" w:rsidRDefault="00BA1A3D" w:rsidP="008E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91.6</w:t>
            </w:r>
          </w:p>
        </w:tc>
        <w:tc>
          <w:tcPr>
            <w:tcW w:w="2396" w:type="dxa"/>
          </w:tcPr>
          <w:p w:rsidR="0016611F" w:rsidRDefault="0016611F" w:rsidP="000E1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807.9</w:t>
            </w:r>
          </w:p>
        </w:tc>
        <w:tc>
          <w:tcPr>
            <w:tcW w:w="1796" w:type="dxa"/>
          </w:tcPr>
          <w:p w:rsidR="0016611F" w:rsidRDefault="00BA1A3D" w:rsidP="008E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</w:tr>
      <w:tr w:rsidR="0016611F" w:rsidTr="0016611F">
        <w:tc>
          <w:tcPr>
            <w:tcW w:w="959" w:type="dxa"/>
          </w:tcPr>
          <w:p w:rsidR="0016611F" w:rsidRDefault="0016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2631" w:type="dxa"/>
          </w:tcPr>
          <w:p w:rsidR="0016611F" w:rsidRDefault="0016611F" w:rsidP="00E63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8’628.7</w:t>
            </w:r>
          </w:p>
        </w:tc>
        <w:tc>
          <w:tcPr>
            <w:tcW w:w="1196" w:type="dxa"/>
          </w:tcPr>
          <w:p w:rsidR="0016611F" w:rsidRDefault="00BA1A3D" w:rsidP="008E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91.8</w:t>
            </w:r>
          </w:p>
        </w:tc>
        <w:tc>
          <w:tcPr>
            <w:tcW w:w="2396" w:type="dxa"/>
          </w:tcPr>
          <w:p w:rsidR="0016611F" w:rsidRDefault="0016611F" w:rsidP="000E1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771.6</w:t>
            </w:r>
          </w:p>
        </w:tc>
        <w:tc>
          <w:tcPr>
            <w:tcW w:w="1796" w:type="dxa"/>
          </w:tcPr>
          <w:p w:rsidR="0016611F" w:rsidRDefault="00BA1A3D" w:rsidP="008E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</w:tr>
      <w:tr w:rsidR="0016611F" w:rsidTr="0016611F">
        <w:tc>
          <w:tcPr>
            <w:tcW w:w="959" w:type="dxa"/>
          </w:tcPr>
          <w:p w:rsidR="0016611F" w:rsidRDefault="0016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2631" w:type="dxa"/>
          </w:tcPr>
          <w:p w:rsidR="0016611F" w:rsidRDefault="000B1FBC" w:rsidP="00E63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5’895.5</w:t>
            </w:r>
          </w:p>
        </w:tc>
        <w:tc>
          <w:tcPr>
            <w:tcW w:w="1196" w:type="dxa"/>
          </w:tcPr>
          <w:p w:rsidR="0016611F" w:rsidRDefault="00BA1A3D" w:rsidP="008E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83.9</w:t>
            </w:r>
          </w:p>
        </w:tc>
        <w:tc>
          <w:tcPr>
            <w:tcW w:w="2396" w:type="dxa"/>
          </w:tcPr>
          <w:p w:rsidR="0016611F" w:rsidRDefault="000E1F94" w:rsidP="000E1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B1FBC">
              <w:rPr>
                <w:sz w:val="24"/>
                <w:szCs w:val="24"/>
              </w:rPr>
              <w:t>1’132.2</w:t>
            </w:r>
          </w:p>
        </w:tc>
        <w:tc>
          <w:tcPr>
            <w:tcW w:w="1796" w:type="dxa"/>
          </w:tcPr>
          <w:p w:rsidR="0016611F" w:rsidRDefault="008E5157" w:rsidP="008E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A1A3D">
              <w:rPr>
                <w:sz w:val="24"/>
                <w:szCs w:val="24"/>
              </w:rPr>
              <w:t>16.1</w:t>
            </w:r>
          </w:p>
        </w:tc>
      </w:tr>
      <w:tr w:rsidR="0016611F" w:rsidTr="0016611F">
        <w:tc>
          <w:tcPr>
            <w:tcW w:w="959" w:type="dxa"/>
          </w:tcPr>
          <w:p w:rsidR="0016611F" w:rsidRDefault="0016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631" w:type="dxa"/>
          </w:tcPr>
          <w:p w:rsidR="0016611F" w:rsidRDefault="000B1FBC" w:rsidP="00E63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6’086.0</w:t>
            </w:r>
          </w:p>
        </w:tc>
        <w:tc>
          <w:tcPr>
            <w:tcW w:w="1196" w:type="dxa"/>
          </w:tcPr>
          <w:p w:rsidR="0016611F" w:rsidRDefault="00953103" w:rsidP="008E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84.2</w:t>
            </w:r>
          </w:p>
        </w:tc>
        <w:tc>
          <w:tcPr>
            <w:tcW w:w="2396" w:type="dxa"/>
          </w:tcPr>
          <w:p w:rsidR="0016611F" w:rsidRDefault="000E1F94" w:rsidP="000E1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B1FBC">
              <w:rPr>
                <w:sz w:val="24"/>
                <w:szCs w:val="24"/>
              </w:rPr>
              <w:t>1’144.7</w:t>
            </w:r>
          </w:p>
        </w:tc>
        <w:tc>
          <w:tcPr>
            <w:tcW w:w="1796" w:type="dxa"/>
          </w:tcPr>
          <w:p w:rsidR="0016611F" w:rsidRDefault="008E5157" w:rsidP="008E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53103">
              <w:rPr>
                <w:sz w:val="24"/>
                <w:szCs w:val="24"/>
              </w:rPr>
              <w:t>15.8</w:t>
            </w:r>
          </w:p>
        </w:tc>
      </w:tr>
      <w:tr w:rsidR="0016611F" w:rsidTr="0016611F">
        <w:tc>
          <w:tcPr>
            <w:tcW w:w="959" w:type="dxa"/>
          </w:tcPr>
          <w:p w:rsidR="0016611F" w:rsidRDefault="0016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631" w:type="dxa"/>
          </w:tcPr>
          <w:p w:rsidR="0016611F" w:rsidRDefault="00FA1AD5" w:rsidP="00E63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6’166.5</w:t>
            </w:r>
          </w:p>
        </w:tc>
        <w:tc>
          <w:tcPr>
            <w:tcW w:w="1196" w:type="dxa"/>
          </w:tcPr>
          <w:p w:rsidR="0016611F" w:rsidRDefault="00953103" w:rsidP="008E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83.1</w:t>
            </w:r>
          </w:p>
        </w:tc>
        <w:tc>
          <w:tcPr>
            <w:tcW w:w="2396" w:type="dxa"/>
          </w:tcPr>
          <w:p w:rsidR="0016611F" w:rsidRDefault="000E1F94" w:rsidP="000E1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FA1AD5">
              <w:rPr>
                <w:sz w:val="24"/>
                <w:szCs w:val="24"/>
              </w:rPr>
              <w:t>1’256.8</w:t>
            </w:r>
          </w:p>
        </w:tc>
        <w:tc>
          <w:tcPr>
            <w:tcW w:w="1796" w:type="dxa"/>
          </w:tcPr>
          <w:p w:rsidR="0016611F" w:rsidRDefault="008E5157" w:rsidP="008E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53103">
              <w:rPr>
                <w:sz w:val="24"/>
                <w:szCs w:val="24"/>
              </w:rPr>
              <w:t>16.9</w:t>
            </w:r>
          </w:p>
        </w:tc>
      </w:tr>
      <w:tr w:rsidR="0016611F" w:rsidTr="0016611F">
        <w:tc>
          <w:tcPr>
            <w:tcW w:w="959" w:type="dxa"/>
          </w:tcPr>
          <w:p w:rsidR="0016611F" w:rsidRDefault="0016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631" w:type="dxa"/>
          </w:tcPr>
          <w:p w:rsidR="0016611F" w:rsidRDefault="00FA1AD5" w:rsidP="00E63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5’830.8</w:t>
            </w:r>
          </w:p>
        </w:tc>
        <w:tc>
          <w:tcPr>
            <w:tcW w:w="1196" w:type="dxa"/>
          </w:tcPr>
          <w:p w:rsidR="0016611F" w:rsidRDefault="00075ACC" w:rsidP="008E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84.9</w:t>
            </w:r>
          </w:p>
        </w:tc>
        <w:tc>
          <w:tcPr>
            <w:tcW w:w="2396" w:type="dxa"/>
          </w:tcPr>
          <w:p w:rsidR="0016611F" w:rsidRDefault="00953103" w:rsidP="00953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FA1AD5">
              <w:rPr>
                <w:sz w:val="24"/>
                <w:szCs w:val="24"/>
              </w:rPr>
              <w:t>1’04</w:t>
            </w:r>
            <w:r>
              <w:rPr>
                <w:sz w:val="24"/>
                <w:szCs w:val="24"/>
              </w:rPr>
              <w:t>0</w:t>
            </w:r>
            <w:r w:rsidR="00FA1AD5">
              <w:rPr>
                <w:sz w:val="24"/>
                <w:szCs w:val="24"/>
              </w:rPr>
              <w:t>.2</w:t>
            </w:r>
          </w:p>
        </w:tc>
        <w:tc>
          <w:tcPr>
            <w:tcW w:w="1796" w:type="dxa"/>
          </w:tcPr>
          <w:p w:rsidR="0016611F" w:rsidRDefault="008E5157" w:rsidP="008E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75ACC">
              <w:rPr>
                <w:sz w:val="24"/>
                <w:szCs w:val="24"/>
              </w:rPr>
              <w:t>15.1</w:t>
            </w:r>
          </w:p>
        </w:tc>
      </w:tr>
      <w:tr w:rsidR="0016611F" w:rsidTr="0016611F">
        <w:tc>
          <w:tcPr>
            <w:tcW w:w="959" w:type="dxa"/>
          </w:tcPr>
          <w:p w:rsidR="0016611F" w:rsidRDefault="0016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631" w:type="dxa"/>
          </w:tcPr>
          <w:p w:rsidR="0016611F" w:rsidRDefault="00FA1AD5" w:rsidP="00E63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3’330.4</w:t>
            </w:r>
          </w:p>
        </w:tc>
        <w:tc>
          <w:tcPr>
            <w:tcW w:w="1196" w:type="dxa"/>
          </w:tcPr>
          <w:p w:rsidR="0016611F" w:rsidRDefault="002772EC" w:rsidP="008E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77.8</w:t>
            </w:r>
          </w:p>
        </w:tc>
        <w:tc>
          <w:tcPr>
            <w:tcW w:w="2396" w:type="dxa"/>
          </w:tcPr>
          <w:p w:rsidR="0016611F" w:rsidRDefault="00FA1AD5" w:rsidP="000E1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952.4</w:t>
            </w:r>
          </w:p>
        </w:tc>
        <w:tc>
          <w:tcPr>
            <w:tcW w:w="1796" w:type="dxa"/>
          </w:tcPr>
          <w:p w:rsidR="0016611F" w:rsidRDefault="008E5157" w:rsidP="008E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772EC">
              <w:rPr>
                <w:sz w:val="24"/>
                <w:szCs w:val="24"/>
              </w:rPr>
              <w:t>22.2</w:t>
            </w:r>
          </w:p>
        </w:tc>
      </w:tr>
      <w:tr w:rsidR="00F67EA4" w:rsidTr="0016611F">
        <w:tc>
          <w:tcPr>
            <w:tcW w:w="959" w:type="dxa"/>
          </w:tcPr>
          <w:p w:rsidR="00F67EA4" w:rsidRDefault="00F67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631" w:type="dxa"/>
          </w:tcPr>
          <w:p w:rsidR="00F67EA4" w:rsidRDefault="00F67EA4" w:rsidP="00E63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6’377.6</w:t>
            </w:r>
          </w:p>
        </w:tc>
        <w:tc>
          <w:tcPr>
            <w:tcW w:w="1196" w:type="dxa"/>
          </w:tcPr>
          <w:p w:rsidR="00F67EA4" w:rsidRDefault="002772EC" w:rsidP="008E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87.6</w:t>
            </w:r>
          </w:p>
        </w:tc>
        <w:tc>
          <w:tcPr>
            <w:tcW w:w="2396" w:type="dxa"/>
          </w:tcPr>
          <w:p w:rsidR="00F67EA4" w:rsidRDefault="00E631C5" w:rsidP="000E1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904.4</w:t>
            </w:r>
          </w:p>
        </w:tc>
        <w:tc>
          <w:tcPr>
            <w:tcW w:w="1796" w:type="dxa"/>
          </w:tcPr>
          <w:p w:rsidR="00F67EA4" w:rsidRDefault="008E5157" w:rsidP="008E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772EC">
              <w:rPr>
                <w:sz w:val="24"/>
                <w:szCs w:val="24"/>
              </w:rPr>
              <w:t>12.4</w:t>
            </w:r>
          </w:p>
        </w:tc>
      </w:tr>
      <w:tr w:rsidR="00E631C5" w:rsidTr="0016611F">
        <w:tc>
          <w:tcPr>
            <w:tcW w:w="959" w:type="dxa"/>
          </w:tcPr>
          <w:p w:rsidR="00E631C5" w:rsidRDefault="00E63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631" w:type="dxa"/>
          </w:tcPr>
          <w:p w:rsidR="00E631C5" w:rsidRDefault="00E631C5" w:rsidP="00E63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3’805.8 (2)</w:t>
            </w:r>
          </w:p>
        </w:tc>
        <w:tc>
          <w:tcPr>
            <w:tcW w:w="1196" w:type="dxa"/>
          </w:tcPr>
          <w:p w:rsidR="00E631C5" w:rsidRDefault="002772EC" w:rsidP="008E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82.7</w:t>
            </w:r>
          </w:p>
        </w:tc>
        <w:tc>
          <w:tcPr>
            <w:tcW w:w="2396" w:type="dxa"/>
          </w:tcPr>
          <w:p w:rsidR="00E631C5" w:rsidRDefault="00E631C5" w:rsidP="000E1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795.8</w:t>
            </w:r>
          </w:p>
        </w:tc>
        <w:tc>
          <w:tcPr>
            <w:tcW w:w="1796" w:type="dxa"/>
          </w:tcPr>
          <w:p w:rsidR="00E631C5" w:rsidRDefault="008E5157" w:rsidP="008E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772EC">
              <w:rPr>
                <w:sz w:val="24"/>
                <w:szCs w:val="24"/>
              </w:rPr>
              <w:t>17.3</w:t>
            </w:r>
          </w:p>
        </w:tc>
      </w:tr>
    </w:tbl>
    <w:p w:rsidR="00076063" w:rsidRDefault="00D15134" w:rsidP="00D1513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El 60% de esta captura la constituyen las especies pota y </w:t>
      </w:r>
      <w:proofErr w:type="spellStart"/>
      <w:r>
        <w:rPr>
          <w:sz w:val="24"/>
          <w:szCs w:val="24"/>
        </w:rPr>
        <w:t>merlusa</w:t>
      </w:r>
      <w:proofErr w:type="spellEnd"/>
      <w:r w:rsidR="004A3EFC">
        <w:rPr>
          <w:sz w:val="24"/>
          <w:szCs w:val="24"/>
        </w:rPr>
        <w:t xml:space="preserve"> que se destina a la exportación.</w:t>
      </w:r>
    </w:p>
    <w:p w:rsidR="00D15134" w:rsidRPr="00D15134" w:rsidRDefault="00533957" w:rsidP="00D1513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Captura realizada h</w:t>
      </w:r>
      <w:r w:rsidR="00D15134">
        <w:rPr>
          <w:sz w:val="24"/>
          <w:szCs w:val="24"/>
        </w:rPr>
        <w:t>asta el mes de Julio 2012.</w:t>
      </w:r>
      <w:r w:rsidR="00CA080E">
        <w:rPr>
          <w:sz w:val="24"/>
          <w:szCs w:val="24"/>
        </w:rPr>
        <w:t xml:space="preserve"> Sumándole la cuota asignada para el resto del año la captura</w:t>
      </w:r>
      <w:r w:rsidR="004A3EFC">
        <w:rPr>
          <w:sz w:val="24"/>
          <w:szCs w:val="24"/>
        </w:rPr>
        <w:t xml:space="preserve"> de anchoveta</w:t>
      </w:r>
      <w:r w:rsidR="00CA080E">
        <w:rPr>
          <w:sz w:val="24"/>
          <w:szCs w:val="24"/>
        </w:rPr>
        <w:t xml:space="preserve"> llegará a 4 millones </w:t>
      </w:r>
      <w:r>
        <w:rPr>
          <w:sz w:val="24"/>
          <w:szCs w:val="24"/>
        </w:rPr>
        <w:t>5</w:t>
      </w:r>
      <w:r w:rsidR="00CA080E">
        <w:rPr>
          <w:sz w:val="24"/>
          <w:szCs w:val="24"/>
        </w:rPr>
        <w:t>00 mil TM</w:t>
      </w:r>
      <w:r>
        <w:rPr>
          <w:sz w:val="24"/>
          <w:szCs w:val="24"/>
        </w:rPr>
        <w:t xml:space="preserve"> a lo sumo</w:t>
      </w:r>
      <w:r w:rsidR="00CA080E">
        <w:rPr>
          <w:sz w:val="24"/>
          <w:szCs w:val="24"/>
        </w:rPr>
        <w:t>.</w:t>
      </w:r>
    </w:p>
    <w:p w:rsidR="00076063" w:rsidRDefault="00D15134" w:rsidP="004A3EFC">
      <w:pPr>
        <w:spacing w:after="0"/>
        <w:rPr>
          <w:sz w:val="24"/>
          <w:szCs w:val="24"/>
        </w:rPr>
      </w:pPr>
      <w:r>
        <w:rPr>
          <w:sz w:val="24"/>
          <w:szCs w:val="24"/>
        </w:rPr>
        <w:t>FUENTE: Estadísticas de PRODUCE</w:t>
      </w:r>
    </w:p>
    <w:p w:rsidR="004A3EFC" w:rsidRDefault="004A3EFC" w:rsidP="004A3EFC">
      <w:pPr>
        <w:spacing w:after="0"/>
        <w:rPr>
          <w:sz w:val="24"/>
          <w:szCs w:val="24"/>
        </w:rPr>
      </w:pPr>
      <w:r>
        <w:rPr>
          <w:sz w:val="24"/>
          <w:szCs w:val="24"/>
        </w:rPr>
        <w:t>ELABORACIÓN: Nuestra</w:t>
      </w:r>
    </w:p>
    <w:p w:rsidR="004A3EFC" w:rsidRDefault="004A3EFC">
      <w:pPr>
        <w:rPr>
          <w:sz w:val="24"/>
          <w:szCs w:val="24"/>
        </w:rPr>
      </w:pPr>
    </w:p>
    <w:p w:rsidR="00076063" w:rsidRDefault="00CA080E" w:rsidP="00CA080E">
      <w:pPr>
        <w:jc w:val="both"/>
        <w:rPr>
          <w:sz w:val="24"/>
          <w:szCs w:val="24"/>
        </w:rPr>
      </w:pPr>
      <w:r>
        <w:rPr>
          <w:sz w:val="24"/>
          <w:szCs w:val="24"/>
        </w:rPr>
        <w:t>Para recuperar sus supuestas pérdidas</w:t>
      </w:r>
      <w:r w:rsidR="00533957">
        <w:rPr>
          <w:sz w:val="24"/>
          <w:szCs w:val="24"/>
        </w:rPr>
        <w:t xml:space="preserve"> de la industria pesquera durante </w:t>
      </w:r>
      <w:r>
        <w:rPr>
          <w:sz w:val="24"/>
          <w:szCs w:val="24"/>
        </w:rPr>
        <w:t>el ejercicio 2010, el año pasado en forma irresponsable el Vice Ministerio de Pesquería autorizó cuotas de pesca hasta por 6 millones 400 mil toneladas métricas</w:t>
      </w:r>
      <w:r w:rsidR="00900105">
        <w:rPr>
          <w:sz w:val="24"/>
          <w:szCs w:val="24"/>
        </w:rPr>
        <w:t xml:space="preserve"> (sin contar la pesca negra)</w:t>
      </w:r>
      <w:r>
        <w:rPr>
          <w:sz w:val="24"/>
          <w:szCs w:val="24"/>
        </w:rPr>
        <w:t>, lo que ha originado el casi colapso del recurso.</w:t>
      </w:r>
    </w:p>
    <w:p w:rsidR="00137B8F" w:rsidRDefault="00137B8F" w:rsidP="00225C40">
      <w:pPr>
        <w:jc w:val="both"/>
        <w:rPr>
          <w:sz w:val="24"/>
          <w:szCs w:val="24"/>
        </w:rPr>
      </w:pPr>
      <w:r>
        <w:rPr>
          <w:sz w:val="24"/>
          <w:szCs w:val="24"/>
        </w:rPr>
        <w:t>Teniendo en cuenta que el Perú produce más de 1,500 millones de TM de harina de pescado, los ingresos de divisas superan largamente los 2 mil millones de dólares</w:t>
      </w:r>
      <w:r w:rsidR="00900105">
        <w:rPr>
          <w:sz w:val="24"/>
          <w:szCs w:val="24"/>
        </w:rPr>
        <w:t xml:space="preserve"> anuales</w:t>
      </w:r>
      <w:r>
        <w:rPr>
          <w:sz w:val="24"/>
          <w:szCs w:val="24"/>
        </w:rPr>
        <w:t xml:space="preserve"> (con un precio promedio de 1,400 US$/TM), siendo</w:t>
      </w:r>
      <w:r w:rsidR="00515396">
        <w:rPr>
          <w:sz w:val="24"/>
          <w:szCs w:val="24"/>
        </w:rPr>
        <w:t xml:space="preserve"> la empresa TASA (</w:t>
      </w:r>
      <w:r w:rsidR="009D33C0">
        <w:rPr>
          <w:sz w:val="24"/>
          <w:szCs w:val="24"/>
        </w:rPr>
        <w:t>Tecnología</w:t>
      </w:r>
      <w:r w:rsidR="00515396">
        <w:rPr>
          <w:sz w:val="24"/>
          <w:szCs w:val="24"/>
        </w:rPr>
        <w:t xml:space="preserve"> de Alimentos S.A) quien controlo </w:t>
      </w:r>
      <w:r w:rsidR="0028309F">
        <w:rPr>
          <w:sz w:val="24"/>
          <w:szCs w:val="24"/>
        </w:rPr>
        <w:t>más del</w:t>
      </w:r>
      <w:r w:rsidR="00515396">
        <w:rPr>
          <w:sz w:val="24"/>
          <w:szCs w:val="24"/>
        </w:rPr>
        <w:t xml:space="preserve"> </w:t>
      </w:r>
      <w:r w:rsidR="0028309F">
        <w:rPr>
          <w:sz w:val="24"/>
          <w:szCs w:val="24"/>
        </w:rPr>
        <w:t>3</w:t>
      </w:r>
      <w:r w:rsidR="00515396">
        <w:rPr>
          <w:sz w:val="24"/>
          <w:szCs w:val="24"/>
        </w:rPr>
        <w:t>0% de la producción</w:t>
      </w:r>
      <w:r w:rsidR="00225C40">
        <w:rPr>
          <w:sz w:val="24"/>
          <w:szCs w:val="24"/>
        </w:rPr>
        <w:t xml:space="preserve"> y exportación</w:t>
      </w:r>
      <w:r w:rsidR="00515396">
        <w:rPr>
          <w:sz w:val="24"/>
          <w:szCs w:val="24"/>
        </w:rPr>
        <w:t xml:space="preserve"> de harina y aceite de pescado</w:t>
      </w:r>
      <w:r w:rsidR="0028309F">
        <w:rPr>
          <w:sz w:val="24"/>
          <w:szCs w:val="24"/>
        </w:rPr>
        <w:t xml:space="preserve">, Austral </w:t>
      </w:r>
      <w:proofErr w:type="spellStart"/>
      <w:r w:rsidR="0028309F">
        <w:rPr>
          <w:sz w:val="24"/>
          <w:szCs w:val="24"/>
        </w:rPr>
        <w:t>Group</w:t>
      </w:r>
      <w:proofErr w:type="spellEnd"/>
      <w:r w:rsidR="0028309F">
        <w:rPr>
          <w:sz w:val="24"/>
          <w:szCs w:val="24"/>
        </w:rPr>
        <w:t xml:space="preserve"> SAA con el  15%,</w:t>
      </w:r>
      <w:r w:rsidR="00225C40">
        <w:rPr>
          <w:sz w:val="24"/>
          <w:szCs w:val="24"/>
        </w:rPr>
        <w:t xml:space="preserve"> Pesquera Diamante con 14% </w:t>
      </w:r>
      <w:r w:rsidR="00225C40">
        <w:rPr>
          <w:sz w:val="24"/>
          <w:szCs w:val="24"/>
        </w:rPr>
        <w:lastRenderedPageBreak/>
        <w:t>Armadores Pesqueros S.A</w:t>
      </w:r>
      <w:r w:rsidR="0028309F">
        <w:rPr>
          <w:sz w:val="24"/>
          <w:szCs w:val="24"/>
        </w:rPr>
        <w:t>. con el 1</w:t>
      </w:r>
      <w:r w:rsidR="00225C40">
        <w:rPr>
          <w:sz w:val="24"/>
          <w:szCs w:val="24"/>
        </w:rPr>
        <w:t>0</w:t>
      </w:r>
      <w:r w:rsidR="0028309F">
        <w:rPr>
          <w:sz w:val="24"/>
          <w:szCs w:val="24"/>
        </w:rPr>
        <w:t>%</w:t>
      </w:r>
      <w:r w:rsidR="00225C40">
        <w:rPr>
          <w:sz w:val="24"/>
          <w:szCs w:val="24"/>
        </w:rPr>
        <w:t>,,</w:t>
      </w:r>
      <w:r w:rsidR="009D33C0">
        <w:rPr>
          <w:sz w:val="24"/>
          <w:szCs w:val="24"/>
        </w:rPr>
        <w:t xml:space="preserve"> </w:t>
      </w:r>
      <w:r w:rsidR="00225C40">
        <w:rPr>
          <w:sz w:val="24"/>
          <w:szCs w:val="24"/>
        </w:rPr>
        <w:t xml:space="preserve">Pesquera </w:t>
      </w:r>
      <w:proofErr w:type="spellStart"/>
      <w:r w:rsidR="00225C40">
        <w:rPr>
          <w:sz w:val="24"/>
          <w:szCs w:val="24"/>
        </w:rPr>
        <w:t>Hayduk</w:t>
      </w:r>
      <w:proofErr w:type="spellEnd"/>
      <w:r w:rsidR="00225C40">
        <w:rPr>
          <w:sz w:val="24"/>
          <w:szCs w:val="24"/>
        </w:rPr>
        <w:t xml:space="preserve"> S.A con el 9%, estas cinco empresas en conjunto controlan el 78% de la producción</w:t>
      </w:r>
      <w:r w:rsidR="009D33C0">
        <w:rPr>
          <w:sz w:val="24"/>
          <w:szCs w:val="24"/>
        </w:rPr>
        <w:t xml:space="preserve"> total</w:t>
      </w:r>
      <w:r w:rsidR="00225C40">
        <w:rPr>
          <w:sz w:val="24"/>
          <w:szCs w:val="24"/>
        </w:rPr>
        <w:t xml:space="preserve"> percibiendo ingresos por más de 1,600 millones de dólares anuales, El saldo restante de la producción, casi un 22% es realizado por el resto de empresas.</w:t>
      </w:r>
    </w:p>
    <w:p w:rsidR="001D6499" w:rsidRDefault="0078116D" w:rsidP="00225C40">
      <w:pPr>
        <w:jc w:val="both"/>
        <w:rPr>
          <w:sz w:val="24"/>
          <w:szCs w:val="24"/>
        </w:rPr>
      </w:pPr>
      <w:r>
        <w:rPr>
          <w:sz w:val="24"/>
          <w:szCs w:val="24"/>
        </w:rPr>
        <w:t>Esta es la realidad del sector</w:t>
      </w:r>
      <w:r w:rsidR="00D47D60">
        <w:rPr>
          <w:sz w:val="24"/>
          <w:szCs w:val="24"/>
        </w:rPr>
        <w:t xml:space="preserve">. </w:t>
      </w:r>
      <w:r w:rsidR="009D33C0">
        <w:rPr>
          <w:sz w:val="24"/>
          <w:szCs w:val="24"/>
        </w:rPr>
        <w:t>Nos estamos peleando y con justa razón por 34 mil Km de mar en un diferendo marítimo con el vecino del sur y con las mejores posibilidades de ganarlo en la Haya, pero surge la pregunta insoslayable ¿Quién o quienes usufructuaran de ese rico emporio pesquero frente a las costas de Tacna y Moquegua? ¿Continuaran nuestros niños desnutridos y famélicos mientras los barones de la pesca siguen depredando nuestro mar</w:t>
      </w:r>
      <w:r w:rsidR="001D6499">
        <w:rPr>
          <w:sz w:val="24"/>
          <w:szCs w:val="24"/>
        </w:rPr>
        <w:t xml:space="preserve"> y quemando pescado para hacer harina y engordar los chanchos chinos y norteamericanos?</w:t>
      </w:r>
    </w:p>
    <w:p w:rsidR="001D6499" w:rsidRDefault="001D6499" w:rsidP="00225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Queda demostrado que el Presidente Humala </w:t>
      </w:r>
      <w:r w:rsidR="00755F5D">
        <w:rPr>
          <w:sz w:val="24"/>
          <w:szCs w:val="24"/>
        </w:rPr>
        <w:t>no tiene un proyecto alimentario para la población peruana en base al pescado.</w:t>
      </w:r>
      <w:r>
        <w:rPr>
          <w:sz w:val="24"/>
          <w:szCs w:val="24"/>
        </w:rPr>
        <w:t xml:space="preserve"> </w:t>
      </w:r>
      <w:r w:rsidR="00755F5D">
        <w:rPr>
          <w:sz w:val="24"/>
          <w:szCs w:val="24"/>
        </w:rPr>
        <w:t xml:space="preserve"> Hay un</w:t>
      </w:r>
      <w:r>
        <w:rPr>
          <w:sz w:val="24"/>
          <w:szCs w:val="24"/>
        </w:rPr>
        <w:t xml:space="preserve"> mal ol</w:t>
      </w:r>
      <w:r w:rsidR="00755F5D">
        <w:rPr>
          <w:sz w:val="24"/>
          <w:szCs w:val="24"/>
        </w:rPr>
        <w:t xml:space="preserve">or </w:t>
      </w:r>
      <w:r>
        <w:rPr>
          <w:sz w:val="24"/>
          <w:szCs w:val="24"/>
        </w:rPr>
        <w:t>en</w:t>
      </w:r>
      <w:r w:rsidR="00755F5D">
        <w:rPr>
          <w:sz w:val="24"/>
          <w:szCs w:val="24"/>
        </w:rPr>
        <w:t xml:space="preserve"> este</w:t>
      </w:r>
      <w:r>
        <w:rPr>
          <w:sz w:val="24"/>
          <w:szCs w:val="24"/>
        </w:rPr>
        <w:t xml:space="preserve"> asunto de la pesca.</w:t>
      </w:r>
    </w:p>
    <w:p w:rsidR="00076063" w:rsidRPr="00D47D60" w:rsidRDefault="00D47D60">
      <w:pPr>
        <w:rPr>
          <w:sz w:val="24"/>
          <w:szCs w:val="24"/>
        </w:rPr>
      </w:pPr>
      <w:r w:rsidRPr="00D47D60">
        <w:rPr>
          <w:sz w:val="24"/>
          <w:szCs w:val="24"/>
        </w:rPr>
        <w:t>Lima, 01 de Noviembre del 2012</w:t>
      </w:r>
    </w:p>
    <w:p w:rsidR="00076063" w:rsidRDefault="00076063">
      <w:pPr>
        <w:rPr>
          <w:sz w:val="24"/>
          <w:szCs w:val="24"/>
        </w:rPr>
      </w:pPr>
    </w:p>
    <w:p w:rsidR="00076063" w:rsidRDefault="00076063">
      <w:pPr>
        <w:rPr>
          <w:sz w:val="24"/>
          <w:szCs w:val="24"/>
        </w:rPr>
      </w:pPr>
    </w:p>
    <w:p w:rsidR="00A274A7" w:rsidRDefault="00A274A7" w:rsidP="00547C95">
      <w:pPr>
        <w:shd w:val="clear" w:color="auto" w:fill="FFFFFF"/>
        <w:spacing w:after="54" w:line="172" w:lineRule="atLeast"/>
        <w:textAlignment w:val="baseline"/>
        <w:rPr>
          <w:rFonts w:ascii="inherit" w:eastAsia="Times New Roman" w:hAnsi="inherit" w:cs="Times New Roman"/>
          <w:color w:val="000000"/>
          <w:sz w:val="17"/>
          <w:szCs w:val="17"/>
          <w:lang w:eastAsia="es-PE"/>
        </w:rPr>
      </w:pPr>
      <w:r>
        <w:rPr>
          <w:noProof/>
          <w:lang w:eastAsia="es-PE"/>
        </w:rPr>
        <w:drawing>
          <wp:inline distT="0" distB="0" distL="0" distR="0">
            <wp:extent cx="5612130" cy="3368682"/>
            <wp:effectExtent l="19050" t="0" r="7620" b="0"/>
            <wp:docPr id="3" name="Imagen 3" descr="Acción. Fortalecerán sistemas de supervisión y vigilanci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ión. Fortalecerán sistemas de supervisión y vigilancia.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4A7" w:rsidRDefault="00A274A7" w:rsidP="007534D6">
      <w:pPr>
        <w:shd w:val="clear" w:color="auto" w:fill="FFFFFF"/>
        <w:spacing w:after="0" w:line="172" w:lineRule="atLeast"/>
        <w:textAlignment w:val="baseline"/>
        <w:rPr>
          <w:rFonts w:ascii="inherit" w:eastAsia="Times New Roman" w:hAnsi="inherit" w:cs="Times New Roman"/>
          <w:color w:val="000000"/>
          <w:sz w:val="17"/>
          <w:szCs w:val="17"/>
          <w:lang w:eastAsia="es-PE"/>
        </w:rPr>
      </w:pPr>
    </w:p>
    <w:p w:rsidR="00A274A7" w:rsidRDefault="00A274A7" w:rsidP="007534D6">
      <w:pPr>
        <w:shd w:val="clear" w:color="auto" w:fill="FFFFFF"/>
        <w:spacing w:after="0" w:line="172" w:lineRule="atLeast"/>
        <w:textAlignment w:val="baseline"/>
        <w:rPr>
          <w:rFonts w:ascii="inherit" w:eastAsia="Times New Roman" w:hAnsi="inherit" w:cs="Times New Roman"/>
          <w:color w:val="000000"/>
          <w:sz w:val="17"/>
          <w:szCs w:val="17"/>
          <w:lang w:eastAsia="es-PE"/>
        </w:rPr>
      </w:pPr>
    </w:p>
    <w:p w:rsidR="00A274A7" w:rsidRDefault="00A274A7" w:rsidP="007534D6">
      <w:pPr>
        <w:shd w:val="clear" w:color="auto" w:fill="FFFFFF"/>
        <w:spacing w:after="0" w:line="172" w:lineRule="atLeast"/>
        <w:textAlignment w:val="baseline"/>
        <w:rPr>
          <w:rFonts w:ascii="inherit" w:eastAsia="Times New Roman" w:hAnsi="inherit" w:cs="Times New Roman"/>
          <w:color w:val="000000"/>
          <w:sz w:val="17"/>
          <w:szCs w:val="17"/>
          <w:lang w:eastAsia="es-PE"/>
        </w:rPr>
      </w:pPr>
    </w:p>
    <w:p w:rsidR="00A274A7" w:rsidRDefault="00A274A7" w:rsidP="007534D6">
      <w:pPr>
        <w:shd w:val="clear" w:color="auto" w:fill="FFFFFF"/>
        <w:spacing w:after="0" w:line="172" w:lineRule="atLeast"/>
        <w:textAlignment w:val="baseline"/>
        <w:rPr>
          <w:rFonts w:ascii="inherit" w:eastAsia="Times New Roman" w:hAnsi="inherit" w:cs="Times New Roman"/>
          <w:color w:val="000000"/>
          <w:sz w:val="17"/>
          <w:szCs w:val="17"/>
          <w:lang w:eastAsia="es-PE"/>
        </w:rPr>
      </w:pPr>
    </w:p>
    <w:sectPr w:rsidR="00A274A7" w:rsidSect="00705B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0F84"/>
    <w:multiLevelType w:val="hybridMultilevel"/>
    <w:tmpl w:val="DE503DAA"/>
    <w:lvl w:ilvl="0" w:tplc="B582BB2A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25" w:hanging="360"/>
      </w:pPr>
    </w:lvl>
    <w:lvl w:ilvl="2" w:tplc="280A001B" w:tentative="1">
      <w:start w:val="1"/>
      <w:numFmt w:val="lowerRoman"/>
      <w:lvlText w:val="%3."/>
      <w:lvlJc w:val="right"/>
      <w:pPr>
        <w:ind w:left="1845" w:hanging="180"/>
      </w:pPr>
    </w:lvl>
    <w:lvl w:ilvl="3" w:tplc="280A000F" w:tentative="1">
      <w:start w:val="1"/>
      <w:numFmt w:val="decimal"/>
      <w:lvlText w:val="%4."/>
      <w:lvlJc w:val="left"/>
      <w:pPr>
        <w:ind w:left="2565" w:hanging="360"/>
      </w:pPr>
    </w:lvl>
    <w:lvl w:ilvl="4" w:tplc="280A0019" w:tentative="1">
      <w:start w:val="1"/>
      <w:numFmt w:val="lowerLetter"/>
      <w:lvlText w:val="%5."/>
      <w:lvlJc w:val="left"/>
      <w:pPr>
        <w:ind w:left="3285" w:hanging="360"/>
      </w:pPr>
    </w:lvl>
    <w:lvl w:ilvl="5" w:tplc="280A001B" w:tentative="1">
      <w:start w:val="1"/>
      <w:numFmt w:val="lowerRoman"/>
      <w:lvlText w:val="%6."/>
      <w:lvlJc w:val="right"/>
      <w:pPr>
        <w:ind w:left="4005" w:hanging="180"/>
      </w:pPr>
    </w:lvl>
    <w:lvl w:ilvl="6" w:tplc="280A000F" w:tentative="1">
      <w:start w:val="1"/>
      <w:numFmt w:val="decimal"/>
      <w:lvlText w:val="%7."/>
      <w:lvlJc w:val="left"/>
      <w:pPr>
        <w:ind w:left="4725" w:hanging="360"/>
      </w:pPr>
    </w:lvl>
    <w:lvl w:ilvl="7" w:tplc="280A0019" w:tentative="1">
      <w:start w:val="1"/>
      <w:numFmt w:val="lowerLetter"/>
      <w:lvlText w:val="%8."/>
      <w:lvlJc w:val="left"/>
      <w:pPr>
        <w:ind w:left="5445" w:hanging="360"/>
      </w:pPr>
    </w:lvl>
    <w:lvl w:ilvl="8" w:tplc="2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DC3"/>
    <w:rsid w:val="00075ACC"/>
    <w:rsid w:val="00076063"/>
    <w:rsid w:val="000B1FBC"/>
    <w:rsid w:val="000E1F94"/>
    <w:rsid w:val="00137B8F"/>
    <w:rsid w:val="00150DC3"/>
    <w:rsid w:val="0016611F"/>
    <w:rsid w:val="001B29E6"/>
    <w:rsid w:val="001D6499"/>
    <w:rsid w:val="00225C40"/>
    <w:rsid w:val="002772EC"/>
    <w:rsid w:val="0028309F"/>
    <w:rsid w:val="002C1A2B"/>
    <w:rsid w:val="00364E88"/>
    <w:rsid w:val="00394B81"/>
    <w:rsid w:val="004124D7"/>
    <w:rsid w:val="004A3EFC"/>
    <w:rsid w:val="0051048D"/>
    <w:rsid w:val="00515396"/>
    <w:rsid w:val="00533957"/>
    <w:rsid w:val="00547C95"/>
    <w:rsid w:val="005A5B94"/>
    <w:rsid w:val="00667F9A"/>
    <w:rsid w:val="00705B63"/>
    <w:rsid w:val="007534D6"/>
    <w:rsid w:val="00755F5D"/>
    <w:rsid w:val="0078116D"/>
    <w:rsid w:val="00792FF1"/>
    <w:rsid w:val="00793D04"/>
    <w:rsid w:val="008E5157"/>
    <w:rsid w:val="00900105"/>
    <w:rsid w:val="00953103"/>
    <w:rsid w:val="009D24C7"/>
    <w:rsid w:val="009D33C0"/>
    <w:rsid w:val="00A11646"/>
    <w:rsid w:val="00A274A7"/>
    <w:rsid w:val="00AA1E0E"/>
    <w:rsid w:val="00BA1A3D"/>
    <w:rsid w:val="00BF7F42"/>
    <w:rsid w:val="00CA080E"/>
    <w:rsid w:val="00CA4A95"/>
    <w:rsid w:val="00D15134"/>
    <w:rsid w:val="00D47D60"/>
    <w:rsid w:val="00E631C5"/>
    <w:rsid w:val="00F67EA4"/>
    <w:rsid w:val="00FA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63"/>
  </w:style>
  <w:style w:type="paragraph" w:styleId="Ttulo1">
    <w:name w:val="heading 1"/>
    <w:basedOn w:val="Normal"/>
    <w:link w:val="Ttulo1Car"/>
    <w:uiPriority w:val="9"/>
    <w:qFormat/>
    <w:rsid w:val="00150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link w:val="Ttulo2Car"/>
    <w:uiPriority w:val="9"/>
    <w:qFormat/>
    <w:rsid w:val="00150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0DC3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150DC3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glr-left">
    <w:name w:val="glr-left"/>
    <w:basedOn w:val="Fuentedeprrafopredeter"/>
    <w:rsid w:val="00150DC3"/>
  </w:style>
  <w:style w:type="character" w:styleId="Textoennegrita">
    <w:name w:val="Strong"/>
    <w:basedOn w:val="Fuentedeprrafopredeter"/>
    <w:uiPriority w:val="22"/>
    <w:qFormat/>
    <w:rsid w:val="00150D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150DC3"/>
  </w:style>
  <w:style w:type="character" w:styleId="Hipervnculo">
    <w:name w:val="Hyperlink"/>
    <w:basedOn w:val="Fuentedeprrafopredeter"/>
    <w:uiPriority w:val="99"/>
    <w:semiHidden/>
    <w:unhideWhenUsed/>
    <w:rsid w:val="00150DC3"/>
    <w:rPr>
      <w:color w:val="0000FF"/>
      <w:u w:val="single"/>
    </w:rPr>
  </w:style>
  <w:style w:type="character" w:customStyle="1" w:styleId="glr-list-item-date">
    <w:name w:val="glr-list-item-date"/>
    <w:basedOn w:val="Fuentedeprrafopredeter"/>
    <w:rsid w:val="007534D6"/>
  </w:style>
  <w:style w:type="character" w:customStyle="1" w:styleId="glr-list-item-category">
    <w:name w:val="glr-list-item-category"/>
    <w:basedOn w:val="Fuentedeprrafopredeter"/>
    <w:rsid w:val="007534D6"/>
  </w:style>
  <w:style w:type="paragraph" w:styleId="Textodeglobo">
    <w:name w:val="Balloon Text"/>
    <w:basedOn w:val="Normal"/>
    <w:link w:val="TextodegloboCar"/>
    <w:uiPriority w:val="99"/>
    <w:semiHidden/>
    <w:unhideWhenUsed/>
    <w:rsid w:val="0075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4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66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15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9906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439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64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255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dotted" w:sz="8" w:space="8" w:color="E3E3E3"/>
            <w:right w:val="none" w:sz="0" w:space="0" w:color="auto"/>
          </w:divBdr>
        </w:div>
      </w:divsChild>
    </w:div>
    <w:div w:id="1797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71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743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dotted" w:sz="8" w:space="8" w:color="E3E3E3"/>
            <w:right w:val="none" w:sz="0" w:space="0" w:color="auto"/>
          </w:divBdr>
        </w:div>
      </w:divsChild>
    </w:div>
    <w:div w:id="2075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70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republica.pe/infografias/cuotas-historicas-de-temporadas-de-anchoveta-31-10-2012" TargetMode="External"/><Relationship Id="rId5" Type="http://schemas.openxmlformats.org/officeDocument/2006/relationships/hyperlink" Target="http://www.larepublica.pe/tag/ministerio-de-la-producc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1127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Jimmy</cp:lastModifiedBy>
  <cp:revision>5</cp:revision>
  <dcterms:created xsi:type="dcterms:W3CDTF">2012-11-02T05:28:00Z</dcterms:created>
  <dcterms:modified xsi:type="dcterms:W3CDTF">2012-11-02T05:58:00Z</dcterms:modified>
</cp:coreProperties>
</file>