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D" w:rsidRDefault="0035056D" w:rsidP="00853235">
      <w:pPr>
        <w:jc w:val="center"/>
        <w:rPr>
          <w:b/>
          <w:sz w:val="28"/>
          <w:szCs w:val="28"/>
        </w:rPr>
      </w:pPr>
      <w:r w:rsidRPr="007A7524">
        <w:rPr>
          <w:b/>
          <w:sz w:val="28"/>
          <w:szCs w:val="28"/>
        </w:rPr>
        <w:t>COMISION INTERAMERICANA DEL ATUN TROPICAL</w:t>
      </w:r>
    </w:p>
    <w:p w:rsidR="008C788A" w:rsidRDefault="008C788A" w:rsidP="00DF0140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E05236" w:rsidRPr="00E05236" w:rsidRDefault="00E05236" w:rsidP="00DF0140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5236">
        <w:rPr>
          <w:rFonts w:asciiTheme="minorHAnsi" w:hAnsiTheme="minorHAnsi" w:cstheme="minorHAnsi"/>
          <w:sz w:val="22"/>
          <w:szCs w:val="22"/>
          <w:lang w:val="es-ES"/>
        </w:rPr>
        <w:t xml:space="preserve">Esta Comisión fue establecida en 1950 y se encarga de la conservación y ordenación de las pesquerías de atunes y otras especies capturadas por buques atuneros en el Océano Pacífico Oriental. </w:t>
      </w:r>
    </w:p>
    <w:p w:rsidR="00E05236" w:rsidRPr="00E05236" w:rsidRDefault="00E05236" w:rsidP="00DF0140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5236">
        <w:rPr>
          <w:rFonts w:asciiTheme="minorHAnsi" w:hAnsiTheme="minorHAnsi" w:cstheme="minorHAnsi"/>
          <w:sz w:val="22"/>
          <w:szCs w:val="22"/>
          <w:lang w:val="es-ES"/>
        </w:rPr>
        <w:t xml:space="preserve">Son miembros: Colombia, Costa Rica, Ecuador, El Salvador, España, Estados Unidos de América, Francia, Guatemala, Japón, México, Nicaragua, Panamá, Perú, República de Corea, Vanuatu y Venezuela. </w:t>
      </w:r>
    </w:p>
    <w:p w:rsidR="00E05236" w:rsidRDefault="00E05236" w:rsidP="00DF0140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E05236">
        <w:rPr>
          <w:rFonts w:asciiTheme="minorHAnsi" w:hAnsiTheme="minorHAnsi" w:cstheme="minorHAnsi"/>
          <w:sz w:val="22"/>
          <w:szCs w:val="22"/>
          <w:lang w:val="es-ES"/>
        </w:rPr>
        <w:t>La Comisión ha acordado medidas para el manejo de esta pesquería entre las que se encuentran la aplicación de una cuota global de atú</w:t>
      </w:r>
      <w:r>
        <w:rPr>
          <w:rFonts w:asciiTheme="minorHAnsi" w:hAnsiTheme="minorHAnsi" w:cstheme="minorHAnsi"/>
          <w:sz w:val="22"/>
          <w:szCs w:val="22"/>
          <w:lang w:val="es-ES"/>
        </w:rPr>
        <w:t>n y</w:t>
      </w:r>
      <w:r w:rsidRPr="00E05236">
        <w:rPr>
          <w:rFonts w:asciiTheme="minorHAnsi" w:hAnsiTheme="minorHAnsi" w:cstheme="minorHAnsi"/>
          <w:sz w:val="22"/>
          <w:szCs w:val="22"/>
          <w:lang w:val="es-ES"/>
        </w:rPr>
        <w:t xml:space="preserve"> el establecimiento de límites de capacidad de acarreo de </w:t>
      </w:r>
      <w:r>
        <w:rPr>
          <w:rFonts w:asciiTheme="minorHAnsi" w:hAnsiTheme="minorHAnsi" w:cstheme="minorHAnsi"/>
          <w:sz w:val="22"/>
          <w:szCs w:val="22"/>
          <w:lang w:val="es-ES"/>
        </w:rPr>
        <w:t>los buques operando en el área.</w:t>
      </w:r>
    </w:p>
    <w:p w:rsidR="00460452" w:rsidRDefault="00460452" w:rsidP="00DF0140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460452" w:rsidRPr="00460452" w:rsidRDefault="00460452" w:rsidP="00460452">
      <w:pPr>
        <w:pStyle w:val="Sangradetextonormal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Desde 1997</w:t>
      </w:r>
      <w:r w:rsidRPr="00460452">
        <w:rPr>
          <w:rFonts w:asciiTheme="minorHAnsi" w:hAnsiTheme="minorHAnsi" w:cstheme="minorHAnsi"/>
          <w:b/>
          <w:szCs w:val="22"/>
        </w:rPr>
        <w:t xml:space="preserve"> el Perú</w:t>
      </w:r>
      <w:r w:rsidRPr="00460452">
        <w:rPr>
          <w:rFonts w:asciiTheme="minorHAnsi" w:hAnsiTheme="minorHAnsi" w:cstheme="minorHAnsi"/>
          <w:szCs w:val="22"/>
        </w:rPr>
        <w:t xml:space="preserve"> asistió a las reuniones de </w:t>
      </w:r>
      <w:smartTag w:uri="urn:schemas-microsoft-com:office:smarttags" w:element="PersonName">
        <w:r w:rsidRPr="00460452">
          <w:rPr>
            <w:rFonts w:asciiTheme="minorHAnsi" w:hAnsiTheme="minorHAnsi" w:cstheme="minorHAnsi"/>
            <w:szCs w:val="22"/>
          </w:rPr>
          <w:t>la Comisión Interamericana</w:t>
        </w:r>
      </w:smartTag>
      <w:r w:rsidRPr="00460452">
        <w:rPr>
          <w:rFonts w:asciiTheme="minorHAnsi" w:hAnsiTheme="minorHAnsi" w:cstheme="minorHAnsi"/>
          <w:szCs w:val="22"/>
        </w:rPr>
        <w:t xml:space="preserve"> del Atún Tropical (CIAT) en calidad de observador,  habiéndose encontrado con temas ligados al desarrollo atunero y que fue necesaria la presencia de nuestro país como miembro pleno, tales como: </w:t>
      </w:r>
    </w:p>
    <w:p w:rsidR="00460452" w:rsidRPr="00460452" w:rsidRDefault="00460452" w:rsidP="00460452">
      <w:pPr>
        <w:pStyle w:val="Sangradetextonormal"/>
        <w:ind w:left="0" w:firstLine="0"/>
        <w:rPr>
          <w:rFonts w:asciiTheme="minorHAnsi" w:hAnsiTheme="minorHAnsi" w:cstheme="minorHAnsi"/>
          <w:szCs w:val="22"/>
        </w:rPr>
      </w:pPr>
    </w:p>
    <w:p w:rsidR="00460452" w:rsidRPr="00460452" w:rsidRDefault="00460452" w:rsidP="00460452">
      <w:pPr>
        <w:pStyle w:val="Sangradetextonormal"/>
        <w:ind w:left="540" w:hanging="540"/>
        <w:rPr>
          <w:rFonts w:asciiTheme="minorHAnsi" w:hAnsiTheme="minorHAnsi" w:cstheme="minorHAnsi"/>
          <w:szCs w:val="22"/>
        </w:rPr>
      </w:pPr>
      <w:r w:rsidRPr="00460452">
        <w:rPr>
          <w:rFonts w:asciiTheme="minorHAnsi" w:hAnsiTheme="minorHAnsi" w:cstheme="minorHAnsi"/>
          <w:szCs w:val="22"/>
        </w:rPr>
        <w:t xml:space="preserve">-    Limitaciones a la capacidad de flota pesquera atunera </w:t>
      </w:r>
      <w:proofErr w:type="spellStart"/>
      <w:r w:rsidRPr="00460452">
        <w:rPr>
          <w:rFonts w:asciiTheme="minorHAnsi" w:hAnsiTheme="minorHAnsi" w:cstheme="minorHAnsi"/>
          <w:szCs w:val="22"/>
        </w:rPr>
        <w:t>cerquera</w:t>
      </w:r>
      <w:proofErr w:type="spellEnd"/>
      <w:r w:rsidRPr="00460452">
        <w:rPr>
          <w:rFonts w:asciiTheme="minorHAnsi" w:hAnsiTheme="minorHAnsi" w:cstheme="minorHAnsi"/>
          <w:szCs w:val="22"/>
        </w:rPr>
        <w:t xml:space="preserve"> en el Pacífico Oriental.</w:t>
      </w:r>
    </w:p>
    <w:p w:rsidR="00460452" w:rsidRPr="00460452" w:rsidRDefault="00460452" w:rsidP="00460452">
      <w:pPr>
        <w:pStyle w:val="Sangradetextonormal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   </w:t>
      </w:r>
      <w:r w:rsidRPr="00460452">
        <w:rPr>
          <w:rFonts w:asciiTheme="minorHAnsi" w:hAnsiTheme="minorHAnsi" w:cstheme="minorHAnsi"/>
          <w:szCs w:val="22"/>
        </w:rPr>
        <w:t>Cuotas de captura para el Atún Aleta Amarilla y Ojo Grande.</w:t>
      </w:r>
    </w:p>
    <w:p w:rsidR="00460452" w:rsidRDefault="00460452" w:rsidP="00460452">
      <w:pPr>
        <w:pStyle w:val="Sangradetextonormal"/>
        <w:ind w:left="0" w:firstLine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   </w:t>
      </w:r>
      <w:r w:rsidRPr="00460452">
        <w:rPr>
          <w:rFonts w:asciiTheme="minorHAnsi" w:hAnsiTheme="minorHAnsi" w:cstheme="minorHAnsi"/>
          <w:szCs w:val="22"/>
        </w:rPr>
        <w:t>Vedas y limitaciones para la captura de especies altamente migratorias.</w:t>
      </w:r>
    </w:p>
    <w:p w:rsidR="00460452" w:rsidRDefault="00460452" w:rsidP="00460452">
      <w:pPr>
        <w:pStyle w:val="Sangradetextonormal"/>
        <w:ind w:left="0" w:firstLine="0"/>
        <w:rPr>
          <w:rFonts w:asciiTheme="minorHAnsi" w:hAnsiTheme="minorHAnsi" w:cstheme="minorHAnsi"/>
          <w:szCs w:val="22"/>
        </w:rPr>
      </w:pPr>
    </w:p>
    <w:p w:rsidR="00460452" w:rsidRPr="00460452" w:rsidRDefault="00460452" w:rsidP="0046045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Desde entonces e</w:t>
      </w:r>
      <w:r w:rsidRPr="00460452">
        <w:rPr>
          <w:rFonts w:eastAsia="Times New Roman" w:cstheme="minorHAnsi"/>
          <w:lang w:eastAsia="es-ES"/>
        </w:rPr>
        <w:t xml:space="preserve">l Perú está empeñado en diversificar la industria pesquera destinada al consumo directo y </w:t>
      </w:r>
      <w:r>
        <w:rPr>
          <w:rFonts w:eastAsia="Times New Roman" w:cstheme="minorHAnsi"/>
          <w:lang w:eastAsia="es-ES"/>
        </w:rPr>
        <w:t>promover la actividad atunera.</w:t>
      </w:r>
    </w:p>
    <w:p w:rsidR="00460452" w:rsidRDefault="00460452" w:rsidP="00460452">
      <w:pPr>
        <w:pStyle w:val="Sangradetextonormal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60452" w:rsidRPr="00460452" w:rsidRDefault="00460452" w:rsidP="00460452">
      <w:pPr>
        <w:pStyle w:val="Sangradetextonormal"/>
        <w:ind w:left="0" w:firstLine="0"/>
        <w:rPr>
          <w:rFonts w:asciiTheme="minorHAnsi" w:hAnsiTheme="minorHAnsi" w:cstheme="minorHAnsi"/>
          <w:szCs w:val="22"/>
        </w:rPr>
      </w:pPr>
      <w:r w:rsidRPr="00460452">
        <w:rPr>
          <w:rFonts w:asciiTheme="minorHAnsi" w:hAnsiTheme="minorHAnsi" w:cstheme="minorHAnsi"/>
          <w:szCs w:val="22"/>
        </w:rPr>
        <w:t xml:space="preserve">En la 65° reunión del CIAT, de setiembre de 1999, el Perú efectuó una declaración en la que informó su decisión de adherirse a </w:t>
      </w:r>
      <w:smartTag w:uri="urn:schemas-microsoft-com:office:smarttags" w:element="PersonName">
        <w:smartTagPr>
          <w:attr w:name="ProductID" w:val="la Convenci￳n"/>
        </w:smartTagPr>
        <w:r w:rsidRPr="00460452">
          <w:rPr>
            <w:rFonts w:asciiTheme="minorHAnsi" w:hAnsiTheme="minorHAnsi" w:cstheme="minorHAnsi"/>
            <w:szCs w:val="22"/>
          </w:rPr>
          <w:t>la Convención</w:t>
        </w:r>
      </w:smartTag>
      <w:r w:rsidRPr="00460452">
        <w:rPr>
          <w:rFonts w:asciiTheme="minorHAnsi" w:hAnsiTheme="minorHAnsi" w:cstheme="minorHAnsi"/>
          <w:szCs w:val="22"/>
        </w:rPr>
        <w:t xml:space="preserve"> por considerar que </w:t>
      </w:r>
      <w:smartTag w:uri="urn:schemas-microsoft-com:office:smarttags" w:element="PersonName">
        <w:smartTagPr>
          <w:attr w:name="ProductID" w:val="la CIAT"/>
        </w:smartTagPr>
        <w:r w:rsidRPr="00460452">
          <w:rPr>
            <w:rFonts w:asciiTheme="minorHAnsi" w:hAnsiTheme="minorHAnsi" w:cstheme="minorHAnsi"/>
            <w:szCs w:val="22"/>
          </w:rPr>
          <w:t>la CIAT</w:t>
        </w:r>
      </w:smartTag>
      <w:r w:rsidRPr="00460452">
        <w:rPr>
          <w:rFonts w:asciiTheme="minorHAnsi" w:hAnsiTheme="minorHAnsi" w:cstheme="minorHAnsi"/>
          <w:szCs w:val="22"/>
        </w:rPr>
        <w:t xml:space="preserve"> representa los altos intereses  para el desarrollo atunero en el Océano Pacífico Oriental.</w:t>
      </w:r>
    </w:p>
    <w:p w:rsidR="00460452" w:rsidRPr="00460452" w:rsidRDefault="00460452" w:rsidP="00460452">
      <w:pPr>
        <w:pStyle w:val="Sangradetextonormal"/>
        <w:ind w:left="0" w:firstLine="0"/>
        <w:rPr>
          <w:rFonts w:asciiTheme="minorHAnsi" w:hAnsiTheme="minorHAnsi" w:cstheme="minorHAnsi"/>
          <w:szCs w:val="22"/>
        </w:rPr>
      </w:pPr>
    </w:p>
    <w:p w:rsidR="00460452" w:rsidRPr="00460452" w:rsidRDefault="00460452" w:rsidP="0046045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60452">
        <w:rPr>
          <w:rFonts w:eastAsia="Times New Roman" w:cstheme="minorHAnsi"/>
          <w:lang w:eastAsia="es-ES"/>
        </w:rPr>
        <w:t xml:space="preserve">Desde 1997 el Perú está empeñado en diversificar la industria pesquera destinada al consumo directo y </w:t>
      </w:r>
      <w:r>
        <w:rPr>
          <w:rFonts w:eastAsia="Times New Roman" w:cstheme="minorHAnsi"/>
          <w:lang w:eastAsia="es-ES"/>
        </w:rPr>
        <w:t>promover la actividad atunera  pero no tenemos una política promocional que aliente esta pesquería.</w:t>
      </w:r>
    </w:p>
    <w:p w:rsidR="00460452" w:rsidRPr="00460452" w:rsidRDefault="00460452" w:rsidP="00460452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60452" w:rsidRDefault="00460452" w:rsidP="0046045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460452">
        <w:rPr>
          <w:rFonts w:eastAsia="Times New Roman" w:cstheme="minorHAnsi"/>
          <w:lang w:eastAsia="es-ES"/>
        </w:rPr>
        <w:t xml:space="preserve">Por estos antecedentes el Congreso del Perú aprobó en el </w:t>
      </w:r>
      <w:r w:rsidRPr="00460452">
        <w:rPr>
          <w:rFonts w:eastAsia="Times New Roman" w:cstheme="minorHAnsi"/>
          <w:b/>
          <w:lang w:eastAsia="es-ES"/>
        </w:rPr>
        <w:t>año 2002</w:t>
      </w:r>
      <w:r w:rsidRPr="00460452">
        <w:rPr>
          <w:rFonts w:eastAsia="Times New Roman" w:cstheme="minorHAnsi"/>
          <w:lang w:eastAsia="es-ES"/>
        </w:rPr>
        <w:t xml:space="preserve"> </w:t>
      </w:r>
      <w:smartTag w:uri="urn:schemas-microsoft-com:office:smarttags" w:element="PersonName">
        <w:smartTagPr>
          <w:attr w:name="ProductID" w:val="la Resoluci￳n Legislativa"/>
        </w:smartTagPr>
        <w:r w:rsidRPr="00460452">
          <w:rPr>
            <w:rFonts w:eastAsia="Times New Roman" w:cstheme="minorHAnsi"/>
            <w:lang w:eastAsia="es-ES"/>
          </w:rPr>
          <w:t>la Resolución Legislativa</w:t>
        </w:r>
      </w:smartTag>
      <w:r w:rsidRPr="00460452">
        <w:rPr>
          <w:rFonts w:eastAsia="Times New Roman" w:cstheme="minorHAnsi"/>
          <w:lang w:eastAsia="es-ES"/>
        </w:rPr>
        <w:t xml:space="preserve"> mediante la cual se Aprueba la adhesión del Perú a la “Convención entre los Estados Unidos de América y </w:t>
      </w:r>
      <w:smartTag w:uri="urn:schemas-microsoft-com:office:smarttags" w:element="PersonName">
        <w:smartTagPr>
          <w:attr w:name="ProductID" w:val="la Rep￺blica"/>
        </w:smartTagPr>
        <w:r w:rsidRPr="00460452">
          <w:rPr>
            <w:rFonts w:eastAsia="Times New Roman" w:cstheme="minorHAnsi"/>
            <w:lang w:eastAsia="es-ES"/>
          </w:rPr>
          <w:t>la República</w:t>
        </w:r>
      </w:smartTag>
      <w:r w:rsidRPr="00460452">
        <w:rPr>
          <w:rFonts w:eastAsia="Times New Roman" w:cstheme="minorHAnsi"/>
          <w:lang w:eastAsia="es-ES"/>
        </w:rPr>
        <w:t xml:space="preserve"> de Costa Rica para el Establecimiento de una Comisión Interamericana del Atún Tropical (CIAT)”, adoptada en Washington, el 31 de mayo de 1949.</w:t>
      </w:r>
    </w:p>
    <w:p w:rsidR="00460452" w:rsidRPr="00460452" w:rsidRDefault="00460452" w:rsidP="0046045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60452" w:rsidRDefault="00460452" w:rsidP="00460452">
      <w:pPr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  <w:r w:rsidRPr="00460452">
        <w:rPr>
          <w:rFonts w:eastAsia="Times New Roman" w:cstheme="minorHAnsi"/>
          <w:lang w:val="es-ES_tradnl" w:eastAsia="es-ES"/>
        </w:rPr>
        <w:t xml:space="preserve">Al momento de que se aprobó la resolución anterior, Perú solicitó que además de aquellos buques en el RRB, se les permitiera agregar tantos buques como sumaran </w:t>
      </w:r>
      <w:smartTag w:uri="urn:schemas-microsoft-com:office:smarttags" w:element="metricconverter">
        <w:smartTagPr>
          <w:attr w:name="ProductID" w:val="3,195 m3"/>
        </w:smartTagPr>
        <w:r w:rsidRPr="00460452">
          <w:rPr>
            <w:rFonts w:eastAsia="Times New Roman" w:cstheme="minorHAnsi"/>
            <w:lang w:val="es-ES_tradnl" w:eastAsia="es-ES"/>
          </w:rPr>
          <w:t xml:space="preserve">3,195 </w:t>
        </w:r>
        <w:proofErr w:type="gramStart"/>
        <w:r w:rsidRPr="00460452">
          <w:rPr>
            <w:rFonts w:eastAsia="Times New Roman" w:cstheme="minorHAnsi"/>
            <w:lang w:val="es-ES_tradnl" w:eastAsia="es-ES"/>
          </w:rPr>
          <w:t>m</w:t>
        </w:r>
        <w:r w:rsidRPr="00460452">
          <w:rPr>
            <w:rFonts w:eastAsia="Times New Roman" w:cstheme="minorHAnsi"/>
            <w:vertAlign w:val="superscript"/>
            <w:lang w:val="es-ES_tradnl" w:eastAsia="es-ES"/>
          </w:rPr>
          <w:t>3</w:t>
        </w:r>
      </w:smartTag>
      <w:r w:rsidRPr="00460452">
        <w:rPr>
          <w:rFonts w:eastAsia="Times New Roman" w:cstheme="minorHAnsi"/>
          <w:vertAlign w:val="superscript"/>
          <w:lang w:val="es-ES_tradnl" w:eastAsia="es-ES"/>
        </w:rPr>
        <w:t xml:space="preserve"> </w:t>
      </w:r>
      <w:r w:rsidRPr="00460452">
        <w:rPr>
          <w:rFonts w:eastAsia="Times New Roman" w:cstheme="minorHAnsi"/>
          <w:lang w:val="es-ES_tradnl" w:eastAsia="es-ES"/>
        </w:rPr>
        <w:t>.</w:t>
      </w:r>
      <w:proofErr w:type="gramEnd"/>
      <w:r w:rsidRPr="00460452">
        <w:rPr>
          <w:rFonts w:eastAsia="Times New Roman" w:cstheme="minorHAnsi"/>
          <w:lang w:val="es-ES_tradnl" w:eastAsia="es-ES"/>
        </w:rPr>
        <w:t xml:space="preserve"> Cualquier país puede obtener la capacidad que quiera, mientras la obtenga de buques en el Registro o que reemplace a buques que salgan del Registro.</w:t>
      </w:r>
    </w:p>
    <w:p w:rsidR="00297D9C" w:rsidRDefault="00297D9C" w:rsidP="00460452">
      <w:pPr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:rsidR="00297D9C" w:rsidRPr="00460452" w:rsidRDefault="00297D9C" w:rsidP="00460452">
      <w:pPr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  <w:r>
        <w:rPr>
          <w:rFonts w:eastAsia="Times New Roman" w:cstheme="minorHAnsi"/>
          <w:lang w:val="es-ES_tradnl" w:eastAsia="es-ES"/>
        </w:rPr>
        <w:t>Desde entonce</w:t>
      </w:r>
      <w:r w:rsidR="00A87E6B">
        <w:rPr>
          <w:rFonts w:eastAsia="Times New Roman" w:cstheme="minorHAnsi"/>
          <w:lang w:val="es-ES_tradnl" w:eastAsia="es-ES"/>
        </w:rPr>
        <w:t>s el Perú ha participado en toda</w:t>
      </w:r>
      <w:r>
        <w:rPr>
          <w:rFonts w:eastAsia="Times New Roman" w:cstheme="minorHAnsi"/>
          <w:lang w:val="es-ES_tradnl" w:eastAsia="es-ES"/>
        </w:rPr>
        <w:t>s las reuniones anuales de la CIAT y se le  ha otorgado las Siguientes Autorizaciones:</w:t>
      </w:r>
    </w:p>
    <w:p w:rsidR="0035056D" w:rsidRPr="00460452" w:rsidRDefault="0035056D" w:rsidP="0046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35056D" w:rsidRPr="000930BB" w:rsidRDefault="0035056D" w:rsidP="00DF01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</w:rPr>
      </w:pPr>
      <w:r w:rsidRPr="000930BB">
        <w:rPr>
          <w:rFonts w:cstheme="minorHAnsi"/>
          <w:b/>
          <w:bCs/>
        </w:rPr>
        <w:t xml:space="preserve">69ª REUNION - 69TH MEETING </w:t>
      </w:r>
      <w:r w:rsidRPr="000930BB">
        <w:rPr>
          <w:rFonts w:cstheme="minorHAnsi"/>
        </w:rPr>
        <w:t>MANZANILLO (MEXICO)</w:t>
      </w:r>
      <w:r w:rsidRPr="000930BB">
        <w:rPr>
          <w:rFonts w:cstheme="minorHAnsi"/>
          <w:b/>
          <w:bCs/>
        </w:rPr>
        <w:t xml:space="preserve">  </w:t>
      </w:r>
      <w:r w:rsidRPr="000930BB">
        <w:rPr>
          <w:rFonts w:cstheme="minorHAnsi"/>
        </w:rPr>
        <w:t>26-28 JUN 2002</w:t>
      </w: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0930BB">
        <w:rPr>
          <w:rFonts w:cstheme="minorHAnsi"/>
          <w:b/>
        </w:rPr>
        <w:t>C-02-03</w:t>
      </w:r>
      <w:r w:rsidRPr="000930BB">
        <w:rPr>
          <w:rFonts w:cstheme="minorHAnsi"/>
        </w:rPr>
        <w:t xml:space="preserve"> Resolución sobre capacidad  -  Jun 2002  </w:t>
      </w: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0930BB">
        <w:rPr>
          <w:rFonts w:cstheme="minorHAnsi"/>
        </w:rPr>
        <w:t>RESOLUCION SOBRE LA CAPACIDAD DE LA FLOTA ATUNERA OPERANDO EN EL OCEANO PACIFICO ORIENTAL (MODIFICADA)</w:t>
      </w: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:rsidR="0035056D" w:rsidRDefault="0035056D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0930BB">
        <w:rPr>
          <w:rFonts w:cstheme="minorHAnsi"/>
        </w:rPr>
        <w:t xml:space="preserve">Los siguientes participantes podrán añadir buques </w:t>
      </w:r>
      <w:proofErr w:type="spellStart"/>
      <w:r w:rsidRPr="000930BB">
        <w:rPr>
          <w:rFonts w:cstheme="minorHAnsi"/>
        </w:rPr>
        <w:t>cerqueros</w:t>
      </w:r>
      <w:proofErr w:type="spellEnd"/>
      <w:r w:rsidRPr="000930BB">
        <w:rPr>
          <w:rFonts w:cstheme="minorHAnsi"/>
        </w:rPr>
        <w:t xml:space="preserve"> al Registro después del 28 de junio de 2002, sujeto a los límites siguientes:</w:t>
      </w:r>
    </w:p>
    <w:p w:rsidR="00EC1E82" w:rsidRPr="000930BB" w:rsidRDefault="00EC1E82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0930BB">
        <w:rPr>
          <w:rFonts w:cstheme="minorHAnsi"/>
          <w:b/>
        </w:rPr>
        <w:lastRenderedPageBreak/>
        <w:t xml:space="preserve">Costa Rica  </w:t>
      </w:r>
      <w:r w:rsidR="00DF0140">
        <w:rPr>
          <w:rFonts w:cstheme="minorHAnsi"/>
          <w:b/>
        </w:rPr>
        <w:t xml:space="preserve"> </w:t>
      </w:r>
      <w:r w:rsidRPr="000930BB">
        <w:rPr>
          <w:rFonts w:cstheme="minorHAnsi"/>
          <w:b/>
        </w:rPr>
        <w:t xml:space="preserve"> : 9364 m3</w:t>
      </w:r>
    </w:p>
    <w:p w:rsidR="0035056D" w:rsidRPr="000930BB" w:rsidRDefault="00DF0140" w:rsidP="00DF014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</w:t>
      </w:r>
      <w:r w:rsidR="0035056D" w:rsidRPr="000930BB">
        <w:rPr>
          <w:rFonts w:cstheme="minorHAnsi"/>
          <w:b/>
        </w:rPr>
        <w:t>El Salvador</w:t>
      </w:r>
      <w:r>
        <w:rPr>
          <w:rFonts w:cstheme="minorHAnsi"/>
          <w:b/>
        </w:rPr>
        <w:t xml:space="preserve">   </w:t>
      </w:r>
      <w:r w:rsidR="0035056D" w:rsidRPr="000930BB">
        <w:rPr>
          <w:rFonts w:cstheme="minorHAnsi"/>
          <w:b/>
        </w:rPr>
        <w:t>: 861 m3</w:t>
      </w: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0930BB">
        <w:rPr>
          <w:rFonts w:cstheme="minorHAnsi"/>
          <w:b/>
        </w:rPr>
        <w:t>Nicaragua     : 5300 m3</w:t>
      </w: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0930BB">
        <w:rPr>
          <w:rFonts w:cstheme="minorHAnsi"/>
          <w:b/>
        </w:rPr>
        <w:t xml:space="preserve">Perú             </w:t>
      </w:r>
      <w:r w:rsidR="00DF0140">
        <w:rPr>
          <w:rFonts w:cstheme="minorHAnsi"/>
          <w:b/>
        </w:rPr>
        <w:t xml:space="preserve"> </w:t>
      </w:r>
      <w:r w:rsidRPr="000930BB">
        <w:rPr>
          <w:rFonts w:cstheme="minorHAnsi"/>
          <w:b/>
        </w:rPr>
        <w:t>: 3195 m3</w:t>
      </w:r>
    </w:p>
    <w:p w:rsidR="0035056D" w:rsidRPr="000930BB" w:rsidRDefault="0035056D" w:rsidP="00DF0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87E6B" w:rsidRDefault="0035056D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0930BB">
        <w:rPr>
          <w:rFonts w:cstheme="minorHAnsi"/>
        </w:rPr>
        <w:t>Se determina que Costa Rica, Colombia, y Perú mantienen solicitudes a largo plazo de hasta 16.422 m3, 14.046 m3, y 14.046 m3, respectivamente.</w:t>
      </w:r>
    </w:p>
    <w:p w:rsidR="00A87E6B" w:rsidRPr="00A87E6B" w:rsidRDefault="00A87E6B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</w:rPr>
      </w:pPr>
    </w:p>
    <w:p w:rsidR="00297D9C" w:rsidRPr="00A87E6B" w:rsidRDefault="00A87E6B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</w:rPr>
      </w:pPr>
      <w:r w:rsidRPr="00A87E6B">
        <w:rPr>
          <w:rFonts w:cstheme="minorHAnsi"/>
          <w:b/>
        </w:rPr>
        <w:t>RESULTADOS</w:t>
      </w:r>
      <w:r w:rsidR="0035056D" w:rsidRPr="00A87E6B">
        <w:rPr>
          <w:rFonts w:cstheme="minorHAnsi"/>
          <w:b/>
        </w:rPr>
        <w:t xml:space="preserve"> </w:t>
      </w:r>
    </w:p>
    <w:p w:rsidR="00297D9C" w:rsidRDefault="00297D9C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</w:p>
    <w:p w:rsidR="00297D9C" w:rsidRPr="00297D9C" w:rsidRDefault="00297D9C" w:rsidP="00297D9C">
      <w:pPr>
        <w:spacing w:after="0" w:line="240" w:lineRule="auto"/>
        <w:ind w:left="567"/>
        <w:jc w:val="both"/>
        <w:rPr>
          <w:rFonts w:eastAsia="Times New Roman" w:cstheme="minorHAnsi"/>
          <w:lang w:val="es-ES_tradnl" w:eastAsia="es-ES"/>
        </w:rPr>
      </w:pPr>
      <w:r w:rsidRPr="00297D9C">
        <w:rPr>
          <w:rFonts w:eastAsia="Times New Roman" w:cstheme="minorHAnsi"/>
          <w:lang w:val="es-ES_tradnl" w:eastAsia="es-ES"/>
        </w:rPr>
        <w:t xml:space="preserve">Mediante Resolución Directoral Nº 339-2006-PRODUCE/DGEPP de fecha 11 de setiembre de 2007 se otorgó a la empresa </w:t>
      </w:r>
      <w:r w:rsidRPr="00297D9C">
        <w:rPr>
          <w:rFonts w:eastAsia="Times New Roman" w:cstheme="minorHAnsi"/>
          <w:b/>
          <w:lang w:val="es-ES_tradnl" w:eastAsia="es-ES"/>
        </w:rPr>
        <w:t>PEZ DE EXPORTACION S.A.C</w:t>
      </w:r>
      <w:r w:rsidRPr="00297D9C">
        <w:rPr>
          <w:rFonts w:eastAsia="Times New Roman" w:cstheme="minorHAnsi"/>
          <w:lang w:val="es-ES_tradnl" w:eastAsia="es-ES"/>
        </w:rPr>
        <w:t xml:space="preserve">. Autorización de Incremento de Flota para la adquisición de una embarcación pesquera con capacidad de bodega para </w:t>
      </w:r>
      <w:smartTag w:uri="urn:schemas-microsoft-com:office:smarttags" w:element="metricconverter">
        <w:smartTagPr>
          <w:attr w:name="ProductID" w:val="1000 m3"/>
        </w:smartTagPr>
        <w:r w:rsidRPr="00297D9C">
          <w:rPr>
            <w:rFonts w:eastAsia="Times New Roman" w:cstheme="minorHAnsi"/>
            <w:lang w:val="es-ES_tradnl" w:eastAsia="es-ES"/>
          </w:rPr>
          <w:t>1000 m3</w:t>
        </w:r>
      </w:smartTag>
      <w:r w:rsidRPr="00297D9C">
        <w:rPr>
          <w:rFonts w:eastAsia="Times New Roman" w:cstheme="minorHAnsi"/>
          <w:lang w:val="es-ES_tradnl" w:eastAsia="es-ES"/>
        </w:rPr>
        <w:t xml:space="preserve"> con sistema de preservación a bordo R.S.W. y equipada con una red de cerco.</w:t>
      </w:r>
    </w:p>
    <w:p w:rsidR="00297D9C" w:rsidRPr="00297D9C" w:rsidRDefault="00297D9C" w:rsidP="00297D9C">
      <w:pPr>
        <w:spacing w:after="0" w:line="240" w:lineRule="auto"/>
        <w:ind w:left="360"/>
        <w:jc w:val="both"/>
        <w:rPr>
          <w:rFonts w:eastAsia="Times New Roman" w:cstheme="minorHAnsi"/>
          <w:lang w:val="es-ES_tradnl" w:eastAsia="es-ES"/>
        </w:rPr>
      </w:pPr>
    </w:p>
    <w:p w:rsidR="00297D9C" w:rsidRPr="00297D9C" w:rsidRDefault="00297D9C" w:rsidP="00297D9C">
      <w:pPr>
        <w:spacing w:after="0" w:line="240" w:lineRule="auto"/>
        <w:ind w:left="567"/>
        <w:jc w:val="both"/>
        <w:rPr>
          <w:rFonts w:eastAsia="Times New Roman" w:cstheme="minorHAnsi"/>
          <w:lang w:val="es-ES_tradnl" w:eastAsia="es-ES"/>
        </w:rPr>
      </w:pPr>
      <w:r w:rsidRPr="00297D9C">
        <w:rPr>
          <w:rFonts w:eastAsia="Times New Roman" w:cstheme="minorHAnsi"/>
          <w:lang w:val="es-ES_tradnl" w:eastAsia="es-ES"/>
        </w:rPr>
        <w:t xml:space="preserve">Con fecha 17 de Agosto y 06 Setiembre 2007 la empresa Pez de Exportación solicito modificar </w:t>
      </w:r>
      <w:smartTag w:uri="urn:schemas-microsoft-com:office:smarttags" w:element="PersonName">
        <w:smartTagPr>
          <w:attr w:name="ProductID" w:val="la Autorizaci￳n"/>
        </w:smartTagPr>
        <w:r w:rsidRPr="00297D9C">
          <w:rPr>
            <w:rFonts w:eastAsia="Times New Roman" w:cstheme="minorHAnsi"/>
            <w:lang w:val="es-ES_tradnl" w:eastAsia="es-ES"/>
          </w:rPr>
          <w:t>la Autorización</w:t>
        </w:r>
      </w:smartTag>
      <w:r w:rsidRPr="00297D9C">
        <w:rPr>
          <w:rFonts w:eastAsia="Times New Roman" w:cstheme="minorHAnsi"/>
          <w:lang w:val="es-ES_tradnl" w:eastAsia="es-ES"/>
        </w:rPr>
        <w:t xml:space="preserve"> de Incremento de Flota , en el sentido de utilizar los </w:t>
      </w:r>
      <w:smartTag w:uri="urn:schemas-microsoft-com:office:smarttags" w:element="metricconverter">
        <w:smartTagPr>
          <w:attr w:name="ProductID" w:val="1000 m3"/>
        </w:smartTagPr>
        <w:r w:rsidRPr="00297D9C">
          <w:rPr>
            <w:rFonts w:eastAsia="Times New Roman" w:cstheme="minorHAnsi"/>
            <w:lang w:val="es-ES_tradnl" w:eastAsia="es-ES"/>
          </w:rPr>
          <w:t>1000 m3</w:t>
        </w:r>
      </w:smartTag>
      <w:r w:rsidRPr="00297D9C">
        <w:rPr>
          <w:rFonts w:eastAsia="Times New Roman" w:cstheme="minorHAnsi"/>
          <w:lang w:val="es-ES_tradnl" w:eastAsia="es-ES"/>
        </w:rPr>
        <w:t xml:space="preserve"> para aplicarlo en </w:t>
      </w:r>
      <w:smartTag w:uri="urn:schemas-microsoft-com:office:smarttags" w:element="PersonName">
        <w:smartTagPr>
          <w:attr w:name="ProductID" w:val="la Embarcaci￳n Pesquera"/>
        </w:smartTagPr>
        <w:r w:rsidRPr="00297D9C">
          <w:rPr>
            <w:rFonts w:eastAsia="Times New Roman" w:cstheme="minorHAnsi"/>
            <w:lang w:val="es-ES_tradnl" w:eastAsia="es-ES"/>
          </w:rPr>
          <w:t>la Embarcación Pesquera</w:t>
        </w:r>
      </w:smartTag>
      <w:r w:rsidRPr="00297D9C">
        <w:rPr>
          <w:rFonts w:eastAsia="Times New Roman" w:cstheme="minorHAnsi"/>
          <w:lang w:val="es-ES_tradnl" w:eastAsia="es-ES"/>
        </w:rPr>
        <w:t xml:space="preserve"> de bandera extranjera </w:t>
      </w:r>
      <w:r w:rsidRPr="00297D9C">
        <w:rPr>
          <w:rFonts w:eastAsia="Times New Roman" w:cstheme="minorHAnsi"/>
          <w:b/>
          <w:lang w:val="es-ES_tradnl" w:eastAsia="es-ES"/>
        </w:rPr>
        <w:t>¨ALINA¨</w:t>
      </w:r>
      <w:r w:rsidRPr="00297D9C">
        <w:rPr>
          <w:rFonts w:eastAsia="Times New Roman" w:cstheme="minorHAnsi"/>
          <w:lang w:val="es-ES_tradnl" w:eastAsia="es-ES"/>
        </w:rPr>
        <w:t xml:space="preserve">  de </w:t>
      </w:r>
      <w:smartTag w:uri="urn:schemas-microsoft-com:office:smarttags" w:element="metricconverter">
        <w:smartTagPr>
          <w:attr w:name="ProductID" w:val="541.63 m3"/>
        </w:smartTagPr>
        <w:r w:rsidRPr="00297D9C">
          <w:rPr>
            <w:rFonts w:eastAsia="Times New Roman" w:cstheme="minorHAnsi"/>
            <w:lang w:val="es-ES_tradnl" w:eastAsia="es-ES"/>
          </w:rPr>
          <w:t>541.63 m3</w:t>
        </w:r>
      </w:smartTag>
      <w:r w:rsidRPr="00297D9C">
        <w:rPr>
          <w:rFonts w:eastAsia="Times New Roman" w:cstheme="minorHAnsi"/>
          <w:lang w:val="es-ES_tradnl" w:eastAsia="es-ES"/>
        </w:rPr>
        <w:t xml:space="preserve"> de capacidad de bodega con matricula: P-04-00575, Eslora: </w:t>
      </w:r>
      <w:smartTag w:uri="urn:schemas-microsoft-com:office:smarttags" w:element="metricconverter">
        <w:smartTagPr>
          <w:attr w:name="ProductID" w:val="53.85 m"/>
        </w:smartTagPr>
        <w:r w:rsidRPr="00297D9C">
          <w:rPr>
            <w:rFonts w:eastAsia="Times New Roman" w:cstheme="minorHAnsi"/>
            <w:lang w:val="es-ES_tradnl" w:eastAsia="es-ES"/>
          </w:rPr>
          <w:t>53.85 m</w:t>
        </w:r>
      </w:smartTag>
      <w:r w:rsidRPr="00297D9C">
        <w:rPr>
          <w:rFonts w:eastAsia="Times New Roman" w:cstheme="minorHAnsi"/>
          <w:lang w:val="es-ES_tradnl" w:eastAsia="es-ES"/>
        </w:rPr>
        <w:t xml:space="preserve"> y TRB 460.87 </w:t>
      </w:r>
    </w:p>
    <w:p w:rsidR="00297D9C" w:rsidRPr="00297D9C" w:rsidRDefault="00297D9C" w:rsidP="00297D9C">
      <w:pPr>
        <w:spacing w:after="0" w:line="240" w:lineRule="auto"/>
        <w:ind w:left="720"/>
        <w:jc w:val="both"/>
        <w:rPr>
          <w:rFonts w:eastAsia="Times New Roman" w:cstheme="minorHAnsi"/>
          <w:lang w:val="es-ES_tradnl" w:eastAsia="es-ES"/>
        </w:rPr>
      </w:pPr>
    </w:p>
    <w:p w:rsidR="00297D9C" w:rsidRDefault="00297D9C" w:rsidP="00297D9C">
      <w:pPr>
        <w:spacing w:after="0" w:line="240" w:lineRule="auto"/>
        <w:ind w:left="567"/>
        <w:jc w:val="both"/>
        <w:rPr>
          <w:rFonts w:eastAsia="Times New Roman" w:cstheme="minorHAnsi"/>
          <w:lang w:val="es-ES" w:eastAsia="es-ES"/>
        </w:rPr>
      </w:pPr>
      <w:r w:rsidRPr="00297D9C">
        <w:rPr>
          <w:rFonts w:eastAsia="Times New Roman" w:cstheme="minorHAnsi"/>
          <w:bCs/>
          <w:lang w:val="es-ES_tradnl" w:eastAsia="es-ES"/>
        </w:rPr>
        <w:t>Mediante</w:t>
      </w:r>
      <w:r w:rsidRPr="00297D9C">
        <w:rPr>
          <w:rFonts w:eastAsia="Times New Roman" w:cstheme="minorHAnsi"/>
          <w:b/>
          <w:bCs/>
          <w:lang w:val="es-ES_tradnl" w:eastAsia="es-ES"/>
        </w:rPr>
        <w:t xml:space="preserve">  </w:t>
      </w:r>
      <w:r w:rsidRPr="00297D9C">
        <w:rPr>
          <w:rFonts w:eastAsia="Times New Roman" w:cstheme="minorHAnsi"/>
          <w:bCs/>
          <w:lang w:val="es-ES_tradnl" w:eastAsia="es-ES"/>
        </w:rPr>
        <w:t>Resolución Directoral Nº 558-2008-PRODUCE/DGEPP de fecha 21 de Diciembre del 2007</w:t>
      </w:r>
      <w:r w:rsidRPr="00297D9C">
        <w:rPr>
          <w:rFonts w:eastAsia="Times New Roman" w:cstheme="minorHAnsi"/>
          <w:b/>
          <w:bCs/>
          <w:lang w:val="es-ES_tradnl" w:eastAsia="es-ES"/>
        </w:rPr>
        <w:t xml:space="preserve"> </w:t>
      </w:r>
      <w:r w:rsidRPr="00297D9C">
        <w:rPr>
          <w:rFonts w:eastAsia="Times New Roman" w:cstheme="minorHAnsi"/>
          <w:bCs/>
          <w:lang w:val="es-ES_tradnl" w:eastAsia="es-ES"/>
        </w:rPr>
        <w:t xml:space="preserve">se otorgó a la empresa Pez de Exportación S.A.C. </w:t>
      </w:r>
      <w:r w:rsidRPr="00297D9C">
        <w:rPr>
          <w:rFonts w:eastAsia="Times New Roman" w:cstheme="minorHAnsi"/>
          <w:b/>
          <w:bCs/>
          <w:lang w:val="es-ES_tradnl" w:eastAsia="es-ES"/>
        </w:rPr>
        <w:t xml:space="preserve"> </w:t>
      </w:r>
      <w:r w:rsidRPr="00297D9C">
        <w:rPr>
          <w:rFonts w:eastAsia="Times New Roman" w:cstheme="minorHAnsi"/>
          <w:bCs/>
          <w:lang w:val="es-ES_tradnl" w:eastAsia="es-ES"/>
        </w:rPr>
        <w:t xml:space="preserve">mediante cambio de titular de </w:t>
      </w:r>
      <w:smartTag w:uri="urn:schemas-microsoft-com:office:smarttags" w:element="PersonName">
        <w:smartTagPr>
          <w:attr w:name="ProductID" w:val="la  E"/>
        </w:smartTagPr>
        <w:r w:rsidRPr="00297D9C">
          <w:rPr>
            <w:rFonts w:eastAsia="Times New Roman" w:cstheme="minorHAnsi"/>
            <w:bCs/>
            <w:lang w:val="es-ES_tradnl" w:eastAsia="es-ES"/>
          </w:rPr>
          <w:t>la</w:t>
        </w:r>
        <w:r w:rsidRPr="00297D9C">
          <w:rPr>
            <w:rFonts w:eastAsia="Times New Roman" w:cstheme="minorHAnsi"/>
            <w:b/>
            <w:bCs/>
            <w:lang w:val="es-ES_tradnl" w:eastAsia="es-ES"/>
          </w:rPr>
          <w:t xml:space="preserve">  E</w:t>
        </w:r>
      </w:smartTag>
      <w:r w:rsidRPr="00297D9C">
        <w:rPr>
          <w:rFonts w:eastAsia="Times New Roman" w:cstheme="minorHAnsi"/>
          <w:b/>
          <w:bCs/>
          <w:lang w:val="es-ES_tradnl" w:eastAsia="es-ES"/>
        </w:rPr>
        <w:t>/P ¨</w:t>
      </w:r>
      <w:proofErr w:type="spellStart"/>
      <w:r w:rsidRPr="00297D9C">
        <w:rPr>
          <w:rFonts w:eastAsia="Times New Roman" w:cstheme="minorHAnsi"/>
          <w:b/>
          <w:bCs/>
          <w:lang w:val="es-ES_tradnl" w:eastAsia="es-ES"/>
        </w:rPr>
        <w:t>Aleshka</w:t>
      </w:r>
      <w:proofErr w:type="spellEnd"/>
      <w:r w:rsidRPr="00297D9C">
        <w:rPr>
          <w:rFonts w:eastAsia="Times New Roman" w:cstheme="minorHAnsi"/>
          <w:b/>
          <w:bCs/>
          <w:lang w:val="es-ES_tradnl" w:eastAsia="es-ES"/>
        </w:rPr>
        <w:t>¨</w:t>
      </w:r>
      <w:r w:rsidRPr="00297D9C">
        <w:rPr>
          <w:rFonts w:eastAsia="Times New Roman" w:cstheme="minorHAnsi"/>
          <w:bCs/>
          <w:lang w:val="es-ES_tradnl" w:eastAsia="es-ES"/>
        </w:rPr>
        <w:t xml:space="preserve"> con matricula: </w:t>
      </w:r>
      <w:r w:rsidRPr="00297D9C">
        <w:rPr>
          <w:rFonts w:eastAsia="Times New Roman" w:cstheme="minorHAnsi"/>
          <w:lang w:val="es-ES" w:eastAsia="es-ES"/>
        </w:rPr>
        <w:t xml:space="preserve">CO-13919-PM Capacidad de bodega: </w:t>
      </w:r>
      <w:smartTag w:uri="urn:schemas-microsoft-com:office:smarttags" w:element="metricconverter">
        <w:smartTagPr>
          <w:attr w:name="ProductID" w:val="458.37 m3"/>
        </w:smartTagPr>
        <w:r w:rsidRPr="00297D9C">
          <w:rPr>
            <w:rFonts w:eastAsia="Times New Roman" w:cstheme="minorHAnsi"/>
            <w:lang w:val="es-ES" w:eastAsia="es-ES"/>
          </w:rPr>
          <w:t>458.37 m3</w:t>
        </w:r>
      </w:smartTag>
      <w:r w:rsidRPr="00297D9C">
        <w:rPr>
          <w:rFonts w:eastAsia="Times New Roman" w:cstheme="minorHAnsi"/>
          <w:lang w:val="es-ES" w:eastAsia="es-ES"/>
        </w:rPr>
        <w:t xml:space="preserve">, el </w:t>
      </w:r>
      <w:r w:rsidRPr="00297D9C">
        <w:rPr>
          <w:rFonts w:eastAsia="Times New Roman" w:cstheme="minorHAnsi"/>
          <w:b/>
          <w:lang w:val="es-ES" w:eastAsia="es-ES"/>
        </w:rPr>
        <w:t>Permiso de Pesca</w:t>
      </w:r>
      <w:r w:rsidRPr="00297D9C">
        <w:rPr>
          <w:rFonts w:eastAsia="Times New Roman" w:cstheme="minorHAnsi"/>
          <w:lang w:val="es-ES" w:eastAsia="es-ES"/>
        </w:rPr>
        <w:t xml:space="preserve"> con sistema de congelado a bordo y equipada con red  de cerco.</w:t>
      </w:r>
    </w:p>
    <w:p w:rsidR="00297D9C" w:rsidRDefault="00297D9C" w:rsidP="00297D9C">
      <w:pPr>
        <w:spacing w:after="0" w:line="240" w:lineRule="auto"/>
        <w:ind w:left="567"/>
        <w:jc w:val="both"/>
        <w:rPr>
          <w:rFonts w:eastAsia="Times New Roman" w:cstheme="minorHAnsi"/>
          <w:lang w:val="es-ES" w:eastAsia="es-ES"/>
        </w:rPr>
      </w:pPr>
    </w:p>
    <w:p w:rsidR="00FD69A0" w:rsidRDefault="00297D9C" w:rsidP="00FD69A0">
      <w:pPr>
        <w:spacing w:after="0" w:line="240" w:lineRule="auto"/>
        <w:ind w:left="567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Actualmente en la CIAT, el Perú tiene registrado en la Relación de Barcos</w:t>
      </w:r>
      <w:r w:rsidR="003927B6">
        <w:rPr>
          <w:rFonts w:eastAsia="Times New Roman" w:cstheme="minorHAnsi"/>
          <w:lang w:val="es-ES" w:eastAsia="es-ES"/>
        </w:rPr>
        <w:t xml:space="preserve"> de Cerco</w:t>
      </w:r>
      <w:r>
        <w:rPr>
          <w:rFonts w:eastAsia="Times New Roman" w:cstheme="minorHAnsi"/>
          <w:lang w:val="es-ES" w:eastAsia="es-ES"/>
        </w:rPr>
        <w:t xml:space="preserve"> </w:t>
      </w:r>
      <w:r w:rsidR="003927B6">
        <w:rPr>
          <w:rFonts w:eastAsia="Times New Roman" w:cstheme="minorHAnsi"/>
          <w:lang w:val="es-ES" w:eastAsia="es-ES"/>
        </w:rPr>
        <w:t xml:space="preserve">con Registro Numero 14964  el barco de nombre </w:t>
      </w:r>
      <w:r w:rsidR="003927B6" w:rsidRPr="003927B6">
        <w:rPr>
          <w:rFonts w:eastAsia="Times New Roman" w:cstheme="minorHAnsi"/>
          <w:b/>
          <w:lang w:val="es-ES" w:eastAsia="es-ES"/>
        </w:rPr>
        <w:t>DORICA</w:t>
      </w:r>
      <w:r w:rsidR="003927B6" w:rsidRPr="003927B6">
        <w:rPr>
          <w:rFonts w:ascii="Arial" w:hAnsi="Arial" w:cs="Arial"/>
          <w:color w:val="000000"/>
        </w:rPr>
        <w:t xml:space="preserve"> </w:t>
      </w:r>
      <w:r w:rsidR="003927B6" w:rsidRPr="003927B6">
        <w:rPr>
          <w:rFonts w:cstheme="minorHAnsi"/>
          <w:color w:val="000000"/>
        </w:rPr>
        <w:t xml:space="preserve">Matricula: </w:t>
      </w:r>
      <w:r w:rsidR="003927B6" w:rsidRPr="003927B6">
        <w:rPr>
          <w:rFonts w:cstheme="minorHAnsi"/>
          <w:b/>
        </w:rPr>
        <w:t>CO-10200-PM</w:t>
      </w:r>
      <w:r w:rsidR="003927B6" w:rsidRPr="003927B6">
        <w:rPr>
          <w:rFonts w:eastAsia="Times New Roman" w:cstheme="minorHAnsi"/>
          <w:lang w:val="es-ES" w:eastAsia="es-ES"/>
        </w:rPr>
        <w:t xml:space="preserve"> </w:t>
      </w:r>
      <w:r w:rsidR="003927B6">
        <w:rPr>
          <w:rFonts w:eastAsia="Times New Roman" w:cstheme="minorHAnsi"/>
          <w:lang w:val="es-ES" w:eastAsia="es-ES"/>
        </w:rPr>
        <w:t>de 299 m3 de capacidad de bod</w:t>
      </w:r>
      <w:r w:rsidR="00F7176E">
        <w:rPr>
          <w:rFonts w:eastAsia="Times New Roman" w:cstheme="minorHAnsi"/>
          <w:lang w:val="es-ES" w:eastAsia="es-ES"/>
        </w:rPr>
        <w:t>ega de la empresa Pez de Exportación</w:t>
      </w:r>
      <w:r w:rsidR="003927B6">
        <w:rPr>
          <w:rFonts w:eastAsia="Times New Roman" w:cstheme="minorHAnsi"/>
          <w:lang w:val="es-ES" w:eastAsia="es-ES"/>
        </w:rPr>
        <w:t xml:space="preserve"> S.A.C.</w:t>
      </w:r>
    </w:p>
    <w:p w:rsidR="00FD69A0" w:rsidRDefault="00FD69A0" w:rsidP="00297D9C">
      <w:pPr>
        <w:spacing w:after="0" w:line="240" w:lineRule="auto"/>
        <w:ind w:left="567"/>
        <w:jc w:val="both"/>
        <w:rPr>
          <w:rFonts w:eastAsia="Times New Roman" w:cstheme="minorHAnsi"/>
          <w:lang w:val="es-ES" w:eastAsia="es-ES"/>
        </w:rPr>
      </w:pPr>
    </w:p>
    <w:p w:rsidR="00FD69A0" w:rsidRDefault="00FD69A0" w:rsidP="00FD69A0">
      <w:pPr>
        <w:spacing w:after="0" w:line="240" w:lineRule="auto"/>
        <w:ind w:left="567"/>
        <w:jc w:val="center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eastAsia="es-PE"/>
        </w:rPr>
        <w:drawing>
          <wp:inline distT="0" distB="0" distL="0" distR="0">
            <wp:extent cx="2829411" cy="2122098"/>
            <wp:effectExtent l="0" t="0" r="0" b="0"/>
            <wp:docPr id="1" name="Imagen 1" descr="C:\Users\Estimado Cliente\Desktop\FOTOS POR UBICAR\DCIM\101MSDCF\DSC0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imado Cliente\Desktop\FOTOS POR UBICAR\DCIM\101MSDCF\DSC03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63" cy="21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6E" w:rsidRDefault="00F7176E" w:rsidP="000F2969">
      <w:pPr>
        <w:spacing w:after="0" w:line="240" w:lineRule="auto"/>
        <w:jc w:val="both"/>
        <w:rPr>
          <w:rFonts w:eastAsia="Times New Roman" w:cstheme="minorHAnsi"/>
          <w:lang w:val="es-ES_tradnl" w:eastAsia="es-ES"/>
        </w:rPr>
      </w:pPr>
    </w:p>
    <w:p w:rsidR="001D6651" w:rsidRDefault="00F7176E" w:rsidP="001D6651">
      <w:pPr>
        <w:ind w:left="567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Mediante </w:t>
      </w:r>
      <w:r w:rsidRPr="0015601B">
        <w:rPr>
          <w:rFonts w:cstheme="minorHAnsi"/>
          <w:b/>
        </w:rPr>
        <w:t xml:space="preserve">Resolución Directoral N° 159-2005-produce/DNEPP </w:t>
      </w:r>
      <w:r w:rsidRPr="00F7176E">
        <w:rPr>
          <w:rFonts w:cstheme="minorHAnsi"/>
        </w:rPr>
        <w:t xml:space="preserve">de fecha 10 de Junio 2005 Se otorgó </w:t>
      </w:r>
      <w:r>
        <w:rPr>
          <w:rFonts w:cstheme="minorHAnsi"/>
        </w:rPr>
        <w:t xml:space="preserve">a la Empresa </w:t>
      </w:r>
      <w:r w:rsidRPr="00F7176E">
        <w:rPr>
          <w:rFonts w:cstheme="minorHAnsi"/>
          <w:b/>
        </w:rPr>
        <w:t>SOCIEDAD ATUNERA DEL SUR S.A.C.</w:t>
      </w:r>
      <w:r>
        <w:rPr>
          <w:rFonts w:cstheme="minorHAnsi"/>
          <w:b/>
        </w:rPr>
        <w:t xml:space="preserve">, </w:t>
      </w:r>
    </w:p>
    <w:p w:rsidR="00F7176E" w:rsidRDefault="001D6651" w:rsidP="00F7176E">
      <w:pPr>
        <w:ind w:left="567"/>
        <w:jc w:val="both"/>
        <w:rPr>
          <w:rFonts w:cstheme="minorHAnsi"/>
        </w:rPr>
      </w:pPr>
      <w:r>
        <w:rPr>
          <w:rFonts w:cstheme="minorHAnsi"/>
          <w:b/>
        </w:rPr>
        <w:t xml:space="preserve">Artículo 1°.- </w:t>
      </w:r>
      <w:r w:rsidR="00F7176E" w:rsidRPr="00F7176E">
        <w:rPr>
          <w:rFonts w:cstheme="minorHAnsi"/>
        </w:rPr>
        <w:t>Autorización de Increm</w:t>
      </w:r>
      <w:r w:rsidR="00F7176E">
        <w:rPr>
          <w:rFonts w:cstheme="minorHAnsi"/>
        </w:rPr>
        <w:t>en</w:t>
      </w:r>
      <w:r w:rsidR="00F7176E" w:rsidRPr="00F7176E">
        <w:rPr>
          <w:rFonts w:cstheme="minorHAnsi"/>
        </w:rPr>
        <w:t>to de Flota</w:t>
      </w:r>
      <w:r w:rsidR="00F7176E">
        <w:rPr>
          <w:rFonts w:cstheme="minorHAnsi"/>
        </w:rPr>
        <w:t xml:space="preserve"> para la construcción de cuatro (4) embarcaciones pesqueras de acero naval con una capacidad de bodega de 500 m3 cada una, sistema de preservación a bordo R.S.W. a ser equipada con una red de cerco de 4 pulgadas (110 mm) de tamaño de abertura mínima de malla, para la</w:t>
      </w:r>
      <w:r>
        <w:rPr>
          <w:rFonts w:cstheme="minorHAnsi"/>
        </w:rPr>
        <w:t xml:space="preserve"> extracción</w:t>
      </w:r>
      <w:r w:rsidR="00F7176E">
        <w:rPr>
          <w:rFonts w:cstheme="minorHAnsi"/>
        </w:rPr>
        <w:t xml:space="preserve"> del recurso </w:t>
      </w:r>
      <w:r>
        <w:rPr>
          <w:rFonts w:cstheme="minorHAnsi"/>
        </w:rPr>
        <w:t>Atún</w:t>
      </w:r>
      <w:r w:rsidR="00F7176E">
        <w:rPr>
          <w:rFonts w:cstheme="minorHAnsi"/>
        </w:rPr>
        <w:t xml:space="preserve"> y especies a fines, con destino al consumo humano directo, en el ámbito </w:t>
      </w:r>
      <w:r>
        <w:rPr>
          <w:rFonts w:cstheme="minorHAnsi"/>
        </w:rPr>
        <w:t>del lit</w:t>
      </w:r>
      <w:r w:rsidR="00F7176E">
        <w:rPr>
          <w:rFonts w:cstheme="minorHAnsi"/>
        </w:rPr>
        <w:t>oral</w:t>
      </w:r>
      <w:r>
        <w:rPr>
          <w:rFonts w:cstheme="minorHAnsi"/>
        </w:rPr>
        <w:t xml:space="preserve"> </w:t>
      </w:r>
      <w:r w:rsidR="00F7176E">
        <w:rPr>
          <w:rFonts w:cstheme="minorHAnsi"/>
        </w:rPr>
        <w:t>peruano y fuera de las 10 millas de la costa</w:t>
      </w:r>
      <w:r>
        <w:rPr>
          <w:rFonts w:cstheme="minorHAnsi"/>
        </w:rPr>
        <w:t>.</w:t>
      </w:r>
    </w:p>
    <w:p w:rsidR="00F7176E" w:rsidRPr="001D6651" w:rsidRDefault="001D6651" w:rsidP="001D6651">
      <w:pPr>
        <w:ind w:left="567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Artículo 2°.</w:t>
      </w:r>
      <w:r>
        <w:rPr>
          <w:rFonts w:cstheme="minorHAnsi"/>
        </w:rPr>
        <w:t>- La Autorización otorgado por el articulo precedente tendrá vigencia de  por u plazo de dieciocho (18) meses, contado a partir de la fecha de su notificación, prorrogable por seis (06) meses adicionales por única vez. Vencido el plazo inicial, o la prórroga, la autorización de Incremento de Flota caducara en pleno derecho en caso de haberse verificado la culminación de la construcción de las embarcaciones pesqueras, sin que sea necesario para ello pronunciamiento a la notificación por parte del Ministerio de la Producción……….</w:t>
      </w:r>
    </w:p>
    <w:p w:rsidR="00F7176E" w:rsidRDefault="00F7176E" w:rsidP="00F7176E">
      <w:pPr>
        <w:spacing w:after="0" w:line="240" w:lineRule="auto"/>
        <w:ind w:left="567"/>
        <w:jc w:val="both"/>
        <w:rPr>
          <w:rFonts w:eastAsia="Times New Roman" w:cstheme="minorHAnsi"/>
          <w:lang w:val="es-ES_tradnl" w:eastAsia="es-ES"/>
        </w:rPr>
      </w:pPr>
      <w:r w:rsidRPr="00297D9C">
        <w:rPr>
          <w:rFonts w:eastAsia="Times New Roman" w:cstheme="minorHAnsi"/>
          <w:lang w:val="es-ES_tradnl" w:eastAsia="es-ES"/>
        </w:rPr>
        <w:t xml:space="preserve">Luego de haber transcurrido un tiempo prudente y al no presentar la empresa aludida el Permiso de Pesca correspondiente, el Ministerio de la Producción  mediante Resolución Ministerial Nº 459-2008-PRODUCE de fecha  28 de Abril de 2008 conformo una comisión encargada de organizar, desarrollar y dirigir el Concurso Publico destinado a otorgar los </w:t>
      </w:r>
      <w:smartTag w:uri="urn:schemas-microsoft-com:office:smarttags" w:element="metricconverter">
        <w:smartTagPr>
          <w:attr w:name="ProductID" w:val="2,195 m3"/>
        </w:smartTagPr>
        <w:r w:rsidRPr="00297D9C">
          <w:rPr>
            <w:rFonts w:eastAsia="Times New Roman" w:cstheme="minorHAnsi"/>
            <w:lang w:val="es-ES_tradnl" w:eastAsia="es-ES"/>
          </w:rPr>
          <w:t>2,195 m3</w:t>
        </w:r>
      </w:smartTag>
      <w:r w:rsidRPr="00297D9C">
        <w:rPr>
          <w:rFonts w:eastAsia="Times New Roman" w:cstheme="minorHAnsi"/>
          <w:lang w:val="es-ES_tradnl" w:eastAsia="es-ES"/>
        </w:rPr>
        <w:t xml:space="preserve">  de la cuota asignada al Estado Peruano por la Comisión Interamericana del Atún Tropical  -  CIAT.</w:t>
      </w:r>
    </w:p>
    <w:p w:rsidR="000F2969" w:rsidRDefault="000F2969" w:rsidP="00F7176E">
      <w:pPr>
        <w:spacing w:after="0" w:line="240" w:lineRule="auto"/>
        <w:ind w:left="567"/>
        <w:jc w:val="both"/>
        <w:rPr>
          <w:rFonts w:eastAsia="Times New Roman" w:cstheme="minorHAnsi"/>
          <w:lang w:val="es-ES_tradnl" w:eastAsia="es-ES"/>
        </w:rPr>
      </w:pPr>
    </w:p>
    <w:p w:rsidR="0094522E" w:rsidRPr="00297D9C" w:rsidRDefault="000F2969" w:rsidP="000F2969">
      <w:pPr>
        <w:spacing w:after="0" w:line="240" w:lineRule="auto"/>
        <w:ind w:left="567"/>
        <w:jc w:val="both"/>
        <w:rPr>
          <w:rFonts w:eastAsia="Times New Roman" w:cstheme="minorHAnsi"/>
          <w:lang w:val="es-ES_tradnl" w:eastAsia="es-ES"/>
        </w:rPr>
      </w:pPr>
      <w:r w:rsidRPr="00297D9C">
        <w:rPr>
          <w:rFonts w:eastAsia="Times New Roman" w:cstheme="minorHAnsi"/>
          <w:lang w:val="es-ES_tradnl" w:eastAsia="es-ES"/>
        </w:rPr>
        <w:t xml:space="preserve">Seguidamente, la empresa </w:t>
      </w:r>
      <w:r w:rsidRPr="00297D9C">
        <w:rPr>
          <w:rFonts w:eastAsia="Times New Roman" w:cstheme="minorHAnsi"/>
          <w:b/>
          <w:lang w:val="es-ES_tradnl" w:eastAsia="es-ES"/>
        </w:rPr>
        <w:t xml:space="preserve">SOCIEDAD ATUNERA  DEL SUR S.A. </w:t>
      </w:r>
      <w:r w:rsidRPr="00297D9C">
        <w:rPr>
          <w:rFonts w:eastAsia="Times New Roman" w:cstheme="minorHAnsi"/>
          <w:lang w:val="es-ES_tradnl" w:eastAsia="es-ES"/>
        </w:rPr>
        <w:t xml:space="preserve">presento  una demanda judicial al Ministerio de </w:t>
      </w:r>
      <w:smartTag w:uri="urn:schemas-microsoft-com:office:smarttags" w:element="PersonName">
        <w:smartTagPr>
          <w:attr w:name="ProductID" w:val="la Producci￳n"/>
        </w:smartTagPr>
        <w:r w:rsidRPr="00297D9C">
          <w:rPr>
            <w:rFonts w:eastAsia="Times New Roman" w:cstheme="minorHAnsi"/>
            <w:lang w:val="es-ES_tradnl" w:eastAsia="es-ES"/>
          </w:rPr>
          <w:t>la Producción</w:t>
        </w:r>
      </w:smartTag>
      <w:r w:rsidRPr="00297D9C">
        <w:rPr>
          <w:rFonts w:eastAsia="Times New Roman" w:cstheme="minorHAnsi"/>
          <w:lang w:val="es-ES_tradnl" w:eastAsia="es-ES"/>
        </w:rPr>
        <w:t xml:space="preserve"> reclamando el derecho adquirido mediante Incremento de Flota. El juez fallo a su favo</w:t>
      </w:r>
      <w:r>
        <w:rPr>
          <w:rFonts w:eastAsia="Times New Roman" w:cstheme="minorHAnsi"/>
          <w:lang w:val="es-ES_tradnl" w:eastAsia="es-ES"/>
        </w:rPr>
        <w:t xml:space="preserve">r y según me indican a </w:t>
      </w:r>
      <w:r w:rsidR="001D6651">
        <w:rPr>
          <w:rFonts w:eastAsia="Times New Roman" w:cstheme="minorHAnsi"/>
          <w:lang w:val="es-ES_tradnl" w:eastAsia="es-ES"/>
        </w:rPr>
        <w:t>la fecha el Incremento de Flota otorgada a la Empresa Saciedad Atunera del Sur S.A.C. se encuentra sin vigencia.</w:t>
      </w:r>
    </w:p>
    <w:p w:rsidR="00297D9C" w:rsidRPr="00297D9C" w:rsidRDefault="00297D9C" w:rsidP="00297D9C">
      <w:pPr>
        <w:spacing w:after="0" w:line="240" w:lineRule="auto"/>
        <w:ind w:left="567"/>
        <w:jc w:val="both"/>
        <w:rPr>
          <w:rFonts w:eastAsia="Times New Roman" w:cstheme="minorHAnsi"/>
          <w:lang w:val="es-ES_tradnl" w:eastAsia="es-ES"/>
        </w:rPr>
      </w:pPr>
    </w:p>
    <w:p w:rsidR="00E16ACA" w:rsidRDefault="00E16ACA" w:rsidP="00945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6ACA" w:rsidRPr="00E16ACA" w:rsidRDefault="00E16ACA" w:rsidP="00DF01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lang w:val="en-US"/>
        </w:rPr>
      </w:pPr>
      <w:r w:rsidRPr="00E16ACA">
        <w:rPr>
          <w:rFonts w:cstheme="minorHAnsi"/>
          <w:b/>
          <w:bCs/>
          <w:lang w:val="en-US"/>
        </w:rPr>
        <w:t xml:space="preserve">70ª REUNION - 70TH MEETING </w:t>
      </w:r>
      <w:r w:rsidRPr="00E16ACA">
        <w:rPr>
          <w:rFonts w:cstheme="minorHAnsi"/>
          <w:lang w:val="en-US"/>
        </w:rPr>
        <w:t>ANTIGUA (GUATEMALA)</w:t>
      </w:r>
      <w:r w:rsidRPr="00E16ACA">
        <w:rPr>
          <w:rFonts w:cstheme="minorHAnsi"/>
          <w:b/>
          <w:bCs/>
          <w:lang w:val="en-US"/>
        </w:rPr>
        <w:t xml:space="preserve"> </w:t>
      </w:r>
      <w:r w:rsidRPr="00E16ACA">
        <w:rPr>
          <w:rFonts w:cstheme="minorHAnsi"/>
          <w:lang w:val="en-US"/>
        </w:rPr>
        <w:t>24-27 JUN 2003</w:t>
      </w:r>
    </w:p>
    <w:p w:rsidR="00E16ACA" w:rsidRPr="00E16ACA" w:rsidRDefault="00E16ACA" w:rsidP="00DF014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:rsidR="00E16ACA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</w:rPr>
      </w:pPr>
      <w:r w:rsidRPr="00E16ACA">
        <w:rPr>
          <w:rFonts w:cstheme="minorHAnsi"/>
          <w:b/>
        </w:rPr>
        <w:t>RESOLUCION C-03-07</w:t>
      </w:r>
    </w:p>
    <w:p w:rsidR="00E16ACA" w:rsidRPr="00E16ACA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b/>
        </w:rPr>
      </w:pPr>
    </w:p>
    <w:p w:rsidR="00E16ACA" w:rsidRPr="00E16ACA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E16ACA">
        <w:rPr>
          <w:rFonts w:cstheme="minorHAnsi"/>
        </w:rPr>
        <w:t xml:space="preserve">RESOLUCIÓN SOBRE EL </w:t>
      </w:r>
      <w:r>
        <w:rPr>
          <w:rFonts w:cstheme="minorHAnsi"/>
        </w:rPr>
        <w:t xml:space="preserve">ESTABLECIMIENTO DE UNA LISTA DE </w:t>
      </w:r>
      <w:r w:rsidRPr="00E16ACA">
        <w:rPr>
          <w:rFonts w:cstheme="minorHAnsi"/>
        </w:rPr>
        <w:t xml:space="preserve">BUQUES PESQUEROS </w:t>
      </w:r>
      <w:r>
        <w:rPr>
          <w:rFonts w:cstheme="minorHAnsi"/>
        </w:rPr>
        <w:t xml:space="preserve">PALANGREROS DE MAS DE 24 METROS </w:t>
      </w:r>
      <w:r w:rsidRPr="00E16ACA">
        <w:rPr>
          <w:rFonts w:cstheme="minorHAnsi"/>
        </w:rPr>
        <w:t>(LSTLFV) AUTORIZADOS PA</w:t>
      </w:r>
      <w:r>
        <w:rPr>
          <w:rFonts w:cstheme="minorHAnsi"/>
        </w:rPr>
        <w:t xml:space="preserve">RA OPERAR EN EL OCÉANO PACÍFICO </w:t>
      </w:r>
      <w:r w:rsidRPr="00E16ACA">
        <w:rPr>
          <w:rFonts w:cstheme="minorHAnsi"/>
        </w:rPr>
        <w:t>ORIENTAL</w:t>
      </w:r>
    </w:p>
    <w:p w:rsidR="00E16ACA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E16ACA" w:rsidRPr="00DF0140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DF0140">
        <w:rPr>
          <w:rFonts w:cstheme="minorHAnsi"/>
          <w:iCs/>
        </w:rPr>
        <w:t xml:space="preserve">Notando </w:t>
      </w:r>
      <w:r w:rsidRPr="00DF0140">
        <w:rPr>
          <w:rFonts w:cstheme="minorHAnsi"/>
        </w:rPr>
        <w:t>que los buques atuneros palangreros a gran escala (LSTLFV) son altamente móviles y pueden</w:t>
      </w:r>
      <w:r w:rsidR="00DF0140" w:rsidRPr="00DF0140">
        <w:rPr>
          <w:rFonts w:cstheme="minorHAnsi"/>
        </w:rPr>
        <w:t xml:space="preserve"> </w:t>
      </w:r>
      <w:r w:rsidRPr="00DF0140">
        <w:rPr>
          <w:rFonts w:cstheme="minorHAnsi"/>
        </w:rPr>
        <w:t>cambiar fácilmente de caladero de un océano a otro, y tienen por lo tanto u</w:t>
      </w:r>
      <w:r w:rsidR="00DF0140" w:rsidRPr="00DF0140">
        <w:rPr>
          <w:rFonts w:cstheme="minorHAnsi"/>
        </w:rPr>
        <w:t xml:space="preserve">n alto potencial para operar en </w:t>
      </w:r>
      <w:r w:rsidRPr="00DF0140">
        <w:rPr>
          <w:rFonts w:cstheme="minorHAnsi"/>
        </w:rPr>
        <w:t xml:space="preserve">el </w:t>
      </w:r>
      <w:proofErr w:type="spellStart"/>
      <w:r w:rsidRPr="00DF0140">
        <w:rPr>
          <w:rFonts w:cstheme="minorHAnsi"/>
        </w:rPr>
        <w:t>Area</w:t>
      </w:r>
      <w:proofErr w:type="spellEnd"/>
      <w:r w:rsidRPr="00DF0140">
        <w:rPr>
          <w:rFonts w:cstheme="minorHAnsi"/>
        </w:rPr>
        <w:t xml:space="preserve"> de la Convención sin registrarse oportunamente con la Comisión.</w:t>
      </w:r>
    </w:p>
    <w:p w:rsidR="00DF0140" w:rsidRPr="00DF0140" w:rsidRDefault="00DF0140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</w:rPr>
      </w:pPr>
    </w:p>
    <w:p w:rsidR="00E16ACA" w:rsidRPr="00DF0140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DF0140">
        <w:rPr>
          <w:rFonts w:cstheme="minorHAnsi"/>
          <w:iCs/>
        </w:rPr>
        <w:t xml:space="preserve">Considerando </w:t>
      </w:r>
      <w:r w:rsidRPr="00DF0140">
        <w:rPr>
          <w:rFonts w:cstheme="minorHAnsi"/>
        </w:rPr>
        <w:t>que otras organizaciones regionales de ordenación pes</w:t>
      </w:r>
      <w:r w:rsidR="00DF0140" w:rsidRPr="00DF0140">
        <w:rPr>
          <w:rFonts w:cstheme="minorHAnsi"/>
        </w:rPr>
        <w:t xml:space="preserve">quera han estado tomando varias </w:t>
      </w:r>
      <w:r w:rsidRPr="00DF0140">
        <w:rPr>
          <w:rFonts w:cstheme="minorHAnsi"/>
        </w:rPr>
        <w:t>medidas en sus áreas de competencia para prevenir, desalentar y eliminar</w:t>
      </w:r>
      <w:r w:rsidR="00DF0140" w:rsidRPr="00DF0140">
        <w:rPr>
          <w:rFonts w:cstheme="minorHAnsi"/>
        </w:rPr>
        <w:t xml:space="preserve"> la pesca INN realizada por los </w:t>
      </w:r>
      <w:r w:rsidRPr="00DF0140">
        <w:rPr>
          <w:rFonts w:cstheme="minorHAnsi"/>
        </w:rPr>
        <w:t>LSTLFV</w:t>
      </w:r>
      <w:r w:rsidRPr="00DF0140">
        <w:rPr>
          <w:rFonts w:cstheme="minorHAnsi"/>
          <w:i/>
          <w:iCs/>
        </w:rPr>
        <w:t>.</w:t>
      </w:r>
    </w:p>
    <w:p w:rsidR="00DF0140" w:rsidRPr="00DF0140" w:rsidRDefault="00DF0140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</w:rPr>
      </w:pPr>
    </w:p>
    <w:p w:rsidR="00E16ACA" w:rsidRPr="00DF0140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DF0140">
        <w:rPr>
          <w:rFonts w:cstheme="minorHAnsi"/>
          <w:iCs/>
        </w:rPr>
        <w:t>Reafirmando</w:t>
      </w:r>
      <w:r w:rsidRPr="00DF0140">
        <w:rPr>
          <w:rFonts w:cstheme="minorHAnsi"/>
          <w:i/>
          <w:iCs/>
        </w:rPr>
        <w:t xml:space="preserve"> </w:t>
      </w:r>
      <w:r w:rsidRPr="00DF0140">
        <w:rPr>
          <w:rFonts w:cstheme="minorHAnsi"/>
        </w:rPr>
        <w:t>las Resoluciones sobre Pesca por Buques de No Partes adopt</w:t>
      </w:r>
      <w:r w:rsidR="00DF0140" w:rsidRPr="00DF0140">
        <w:rPr>
          <w:rFonts w:cstheme="minorHAnsi"/>
        </w:rPr>
        <w:t xml:space="preserve">ada en junio de 2000 y junio de </w:t>
      </w:r>
      <w:r w:rsidRPr="00DF0140">
        <w:rPr>
          <w:rFonts w:cstheme="minorHAnsi"/>
        </w:rPr>
        <w:t>2001, y</w:t>
      </w:r>
    </w:p>
    <w:p w:rsidR="00DF0140" w:rsidRPr="00DF0140" w:rsidRDefault="00DF0140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</w:rPr>
      </w:pPr>
    </w:p>
    <w:p w:rsidR="00E16ACA" w:rsidRPr="00DF0140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DF0140">
        <w:rPr>
          <w:rFonts w:cstheme="minorHAnsi"/>
          <w:iCs/>
        </w:rPr>
        <w:t>Reafirmando</w:t>
      </w:r>
      <w:r w:rsidRPr="00DF0140">
        <w:rPr>
          <w:rFonts w:cstheme="minorHAnsi"/>
          <w:i/>
          <w:iCs/>
        </w:rPr>
        <w:t xml:space="preserve"> </w:t>
      </w:r>
      <w:r w:rsidRPr="00DF0140">
        <w:rPr>
          <w:rFonts w:cstheme="minorHAnsi"/>
        </w:rPr>
        <w:t>la acción de la Comisión para establecer un Registro Region</w:t>
      </w:r>
      <w:r w:rsidR="00DF0140" w:rsidRPr="00DF0140">
        <w:rPr>
          <w:rFonts w:cstheme="minorHAnsi"/>
        </w:rPr>
        <w:t xml:space="preserve">al de Buques que contiene, para </w:t>
      </w:r>
      <w:r w:rsidRPr="00DF0140">
        <w:rPr>
          <w:rFonts w:cstheme="minorHAnsi"/>
        </w:rPr>
        <w:t xml:space="preserve">todos los buques pesqueros, incluidos los </w:t>
      </w:r>
      <w:proofErr w:type="spellStart"/>
      <w:r w:rsidRPr="00DF0140">
        <w:rPr>
          <w:rFonts w:cstheme="minorHAnsi"/>
        </w:rPr>
        <w:t>LSTLFVs</w:t>
      </w:r>
      <w:proofErr w:type="spellEnd"/>
      <w:r w:rsidRPr="00DF0140">
        <w:rPr>
          <w:rFonts w:cstheme="minorHAnsi"/>
        </w:rPr>
        <w:t>, que estén autorizado</w:t>
      </w:r>
      <w:r w:rsidR="00DF0140" w:rsidRPr="00DF0140">
        <w:rPr>
          <w:rFonts w:cstheme="minorHAnsi"/>
        </w:rPr>
        <w:t xml:space="preserve">s para pescar atunes y especies </w:t>
      </w:r>
      <w:r w:rsidRPr="00DF0140">
        <w:rPr>
          <w:rFonts w:cstheme="minorHAnsi"/>
        </w:rPr>
        <w:t xml:space="preserve">afines en el </w:t>
      </w:r>
      <w:proofErr w:type="spellStart"/>
      <w:r w:rsidRPr="00DF0140">
        <w:rPr>
          <w:rFonts w:cstheme="minorHAnsi"/>
        </w:rPr>
        <w:t>Area</w:t>
      </w:r>
      <w:proofErr w:type="spellEnd"/>
      <w:r w:rsidRPr="00DF0140">
        <w:rPr>
          <w:rFonts w:cstheme="minorHAnsi"/>
        </w:rPr>
        <w:t xml:space="preserve"> de la Convención, la información especificada en el párrafo 2 de la presente resolución,</w:t>
      </w:r>
    </w:p>
    <w:p w:rsidR="00DF0140" w:rsidRPr="00DF0140" w:rsidRDefault="00DF0140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/>
          <w:iCs/>
        </w:rPr>
      </w:pPr>
    </w:p>
    <w:p w:rsidR="00E16ACA" w:rsidRPr="00DF0140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DF0140">
        <w:rPr>
          <w:rFonts w:cstheme="minorHAnsi"/>
          <w:iCs/>
        </w:rPr>
        <w:t xml:space="preserve">Notando </w:t>
      </w:r>
      <w:r w:rsidRPr="00DF0140">
        <w:rPr>
          <w:rFonts w:cstheme="minorHAnsi"/>
        </w:rPr>
        <w:t>que nada en esta Resolución prejuzgará los derechos y obliga</w:t>
      </w:r>
      <w:r w:rsidR="00DF0140" w:rsidRPr="00DF0140">
        <w:rPr>
          <w:rFonts w:cstheme="minorHAnsi"/>
        </w:rPr>
        <w:t xml:space="preserve">ciones de las Partes basados en </w:t>
      </w:r>
      <w:r w:rsidRPr="00DF0140">
        <w:rPr>
          <w:rFonts w:cstheme="minorHAnsi"/>
        </w:rPr>
        <w:t>otros acuerdos internacionales,</w:t>
      </w:r>
    </w:p>
    <w:p w:rsidR="00DF0140" w:rsidRPr="00DF0140" w:rsidRDefault="00DF0140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Cs/>
        </w:rPr>
      </w:pPr>
    </w:p>
    <w:p w:rsidR="00E16ACA" w:rsidRDefault="00E16ACA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Cs/>
        </w:rPr>
      </w:pPr>
      <w:r w:rsidRPr="00DF0140">
        <w:rPr>
          <w:rFonts w:cstheme="minorHAnsi"/>
          <w:iCs/>
        </w:rPr>
        <w:t>Ha acordado, de conformidad con el Artículo 2, párrafo 5, de la Conven</w:t>
      </w:r>
      <w:r w:rsidR="00DF0140">
        <w:rPr>
          <w:rFonts w:cstheme="minorHAnsi"/>
          <w:iCs/>
        </w:rPr>
        <w:t xml:space="preserve">ción, sujeto a las obligaciones </w:t>
      </w:r>
      <w:r w:rsidRPr="00DF0140">
        <w:rPr>
          <w:rFonts w:cstheme="minorHAnsi"/>
          <w:iCs/>
        </w:rPr>
        <w:t>internacionales de las Partes, que:</w:t>
      </w:r>
    </w:p>
    <w:p w:rsidR="00DF0140" w:rsidRPr="00DF0140" w:rsidRDefault="00DF0140" w:rsidP="00DF01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iCs/>
        </w:rPr>
      </w:pPr>
    </w:p>
    <w:p w:rsidR="00E16ACA" w:rsidRPr="00A87E6B" w:rsidRDefault="00E16ACA" w:rsidP="00A87E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7E6B">
        <w:rPr>
          <w:rFonts w:cstheme="minorHAnsi"/>
        </w:rPr>
        <w:lastRenderedPageBreak/>
        <w:t>La Comisión establecerá, el 1 de agosto de 2003, y posteriorment</w:t>
      </w:r>
      <w:r w:rsidR="00DF0140" w:rsidRPr="00A87E6B">
        <w:rPr>
          <w:rFonts w:cstheme="minorHAnsi"/>
        </w:rPr>
        <w:t xml:space="preserve">e mantendrá una lista de buques </w:t>
      </w:r>
      <w:r w:rsidRPr="00A87E6B">
        <w:rPr>
          <w:rFonts w:cstheme="minorHAnsi"/>
        </w:rPr>
        <w:t>pesqueros palangreros de más de 24 metros de eslora total (en lo su</w:t>
      </w:r>
      <w:r w:rsidR="00DF0140" w:rsidRPr="00A87E6B">
        <w:rPr>
          <w:rFonts w:cstheme="minorHAnsi"/>
        </w:rPr>
        <w:t xml:space="preserve">cesivo “Lista de LSTLFV”). Para </w:t>
      </w:r>
      <w:r w:rsidRPr="00A87E6B">
        <w:rPr>
          <w:rFonts w:cstheme="minorHAnsi"/>
        </w:rPr>
        <w:t>los propósitos de esta resolución, se considerará que los LST</w:t>
      </w:r>
      <w:r w:rsidR="00DF0140" w:rsidRPr="00A87E6B">
        <w:rPr>
          <w:rFonts w:cstheme="minorHAnsi"/>
        </w:rPr>
        <w:t xml:space="preserve">LFV no incluidos en la Lista de </w:t>
      </w:r>
      <w:r w:rsidRPr="00A87E6B">
        <w:rPr>
          <w:rFonts w:cstheme="minorHAnsi"/>
        </w:rPr>
        <w:t>LSTLFV no están autorizados para pescar, retener a bordo, transbordar</w:t>
      </w:r>
      <w:r w:rsidR="00DF0140" w:rsidRPr="00A87E6B">
        <w:rPr>
          <w:rFonts w:cstheme="minorHAnsi"/>
        </w:rPr>
        <w:t xml:space="preserve"> ni descargar atunes y especies </w:t>
      </w:r>
      <w:r w:rsidRPr="00A87E6B">
        <w:rPr>
          <w:rFonts w:cstheme="minorHAnsi"/>
        </w:rPr>
        <w:t>afines en el Océano Pacífico oriental (OPO).</w:t>
      </w:r>
    </w:p>
    <w:p w:rsidR="00A87E6B" w:rsidRPr="00A87E6B" w:rsidRDefault="00A87E6B" w:rsidP="00A87E6B">
      <w:pPr>
        <w:pStyle w:val="Prrafodelista"/>
        <w:autoSpaceDE w:val="0"/>
        <w:autoSpaceDN w:val="0"/>
        <w:adjustRightInd w:val="0"/>
        <w:spacing w:after="0" w:line="240" w:lineRule="auto"/>
        <w:ind w:left="927"/>
        <w:jc w:val="both"/>
        <w:rPr>
          <w:rFonts w:cstheme="minorHAnsi"/>
        </w:rPr>
      </w:pPr>
    </w:p>
    <w:p w:rsidR="00E16ACA" w:rsidRDefault="00E16ACA" w:rsidP="00A87E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7E6B">
        <w:rPr>
          <w:rFonts w:cstheme="minorHAnsi"/>
        </w:rPr>
        <w:t xml:space="preserve">La Lista de LSTLFV inicial consistirá de los LSTLFV de Partes de </w:t>
      </w:r>
      <w:r w:rsidR="00DF0140" w:rsidRPr="00A87E6B">
        <w:rPr>
          <w:rFonts w:cstheme="minorHAnsi"/>
        </w:rPr>
        <w:t xml:space="preserve">la CIAT, partes no </w:t>
      </w:r>
      <w:r w:rsidR="00A87E6B" w:rsidRPr="00A87E6B">
        <w:rPr>
          <w:rFonts w:cstheme="minorHAnsi"/>
        </w:rPr>
        <w:t xml:space="preserve">  </w:t>
      </w:r>
      <w:r w:rsidR="00DF0140" w:rsidRPr="00A87E6B">
        <w:rPr>
          <w:rFonts w:cstheme="minorHAnsi"/>
        </w:rPr>
        <w:t xml:space="preserve">contratantes </w:t>
      </w:r>
      <w:r w:rsidRPr="00A87E6B">
        <w:rPr>
          <w:rFonts w:cstheme="minorHAnsi"/>
        </w:rPr>
        <w:t>cooperantes, entidades pesqueras u organizaciones regi</w:t>
      </w:r>
      <w:r w:rsidR="00DF0140" w:rsidRPr="00A87E6B">
        <w:rPr>
          <w:rFonts w:cstheme="minorHAnsi"/>
        </w:rPr>
        <w:t xml:space="preserve">onales de integración económica </w:t>
      </w:r>
      <w:r w:rsidRPr="00A87E6B">
        <w:rPr>
          <w:rFonts w:cstheme="minorHAnsi"/>
        </w:rPr>
        <w:t>(colectivamente “CPC”) en el Registro Regional de Buques</w:t>
      </w:r>
      <w:r w:rsidR="00DF0140" w:rsidRPr="00A87E6B">
        <w:rPr>
          <w:rFonts w:cstheme="minorHAnsi"/>
        </w:rPr>
        <w:t xml:space="preserve"> de la CIAT. La Lista de LSTLFV</w:t>
      </w:r>
    </w:p>
    <w:p w:rsidR="004E5A07" w:rsidRPr="004379A1" w:rsidRDefault="004E5A07" w:rsidP="004379A1">
      <w:pPr>
        <w:rPr>
          <w:rFonts w:cstheme="minorHAnsi"/>
        </w:rPr>
      </w:pPr>
    </w:p>
    <w:p w:rsidR="004E5A07" w:rsidRPr="004E5A07" w:rsidRDefault="004E5A07" w:rsidP="004E5A07">
      <w:pPr>
        <w:pStyle w:val="Prrafodelista"/>
        <w:numPr>
          <w:ilvl w:val="0"/>
          <w:numId w:val="3"/>
        </w:numPr>
        <w:ind w:left="567" w:hanging="567"/>
        <w:jc w:val="both"/>
        <w:rPr>
          <w:b/>
        </w:rPr>
      </w:pPr>
      <w:r w:rsidRPr="004E5A07">
        <w:rPr>
          <w:b/>
          <w:bCs/>
        </w:rPr>
        <w:t xml:space="preserve">ACTA DE LA 80ª REUNIÓN - La </w:t>
      </w:r>
      <w:proofErr w:type="spellStart"/>
      <w:r w:rsidRPr="004E5A07">
        <w:rPr>
          <w:b/>
          <w:bCs/>
        </w:rPr>
        <w:t>Jolla</w:t>
      </w:r>
      <w:proofErr w:type="spellEnd"/>
      <w:r w:rsidRPr="004E5A07">
        <w:rPr>
          <w:b/>
          <w:bCs/>
        </w:rPr>
        <w:t>, California (EE.UU.)  8-12 de junio de 2009</w:t>
      </w:r>
    </w:p>
    <w:p w:rsidR="004E5A07" w:rsidRPr="000930BB" w:rsidRDefault="004E5A07" w:rsidP="004E5A07">
      <w:pPr>
        <w:ind w:left="567"/>
        <w:jc w:val="both"/>
        <w:rPr>
          <w:b/>
          <w:bCs/>
        </w:rPr>
      </w:pPr>
      <w:r w:rsidRPr="000930BB">
        <w:rPr>
          <w:b/>
          <w:bCs/>
        </w:rPr>
        <w:t xml:space="preserve">RESOLUCION C-09-01 </w:t>
      </w:r>
    </w:p>
    <w:p w:rsidR="004E5A07" w:rsidRPr="000930BB" w:rsidRDefault="004E5A07" w:rsidP="004E5A07">
      <w:pPr>
        <w:ind w:left="567"/>
        <w:jc w:val="both"/>
      </w:pPr>
      <w:r w:rsidRPr="000930BB">
        <w:t>RESOLUCIÓN SOBRE UN PROGRAMA MULTIANUAL PARA LA CONSERVACIÓN DE ATUNES EN EL OCÉANO PACÍFICO ORIENTAL EN 2009-2011</w:t>
      </w:r>
    </w:p>
    <w:p w:rsidR="004E5A07" w:rsidRPr="000930BB" w:rsidRDefault="004E5A07" w:rsidP="004E5A07">
      <w:pPr>
        <w:ind w:left="567"/>
        <w:jc w:val="both"/>
        <w:rPr>
          <w:b/>
          <w:bCs/>
        </w:rPr>
      </w:pPr>
      <w:r w:rsidRPr="000930BB">
        <w:rPr>
          <w:b/>
          <w:bCs/>
        </w:rPr>
        <w:t xml:space="preserve">11. Capacidad de la flota </w:t>
      </w:r>
    </w:p>
    <w:p w:rsidR="004E5A07" w:rsidRPr="000930BB" w:rsidRDefault="004E5A07" w:rsidP="004E5A07">
      <w:pPr>
        <w:ind w:left="567"/>
        <w:jc w:val="both"/>
      </w:pPr>
      <w:r w:rsidRPr="000930BB">
        <w:t>Perú realizó una presentación sobre la forma en que piensa añadir capacidad de acarreo de cerco conforme a la Resolución C-02-03 sobre la capacidad de la flota. Guatemala realizó una declaración con respecto a su reivindicación de capacidad (Anexo 4.b). Colombia reiteró su derecho de añadir capacidad, señalando que no fue Parte de la CIAT cuando fue adoptada la Resolución C-02-03. Venezuela recordó su reclamo pendiente de 5,473 m3 de capacidad de bodega.</w:t>
      </w:r>
    </w:p>
    <w:p w:rsidR="00A87E6B" w:rsidRPr="004E5A07" w:rsidRDefault="004E5A07" w:rsidP="004E5A07">
      <w:pPr>
        <w:ind w:left="567"/>
        <w:jc w:val="both"/>
        <w:rPr>
          <w:b/>
        </w:rPr>
      </w:pPr>
      <w:r w:rsidRPr="007A0C07">
        <w:rPr>
          <w:b/>
        </w:rPr>
        <w:t xml:space="preserve">Las Partes reconocen que Perú, en su calidad de Estado costero, desarrollará una flota atunera </w:t>
      </w:r>
      <w:proofErr w:type="spellStart"/>
      <w:r w:rsidRPr="007A0C07">
        <w:rPr>
          <w:b/>
        </w:rPr>
        <w:t>palangrera</w:t>
      </w:r>
      <w:proofErr w:type="spellEnd"/>
      <w:r w:rsidRPr="007A0C07">
        <w:rPr>
          <w:b/>
        </w:rPr>
        <w:t>, que operará en estricto cumplimiento de las normas y disposiciones de la CIAT y de conformidad con las resoluciones de la CIAT.</w:t>
      </w:r>
    </w:p>
    <w:p w:rsidR="00A87E6B" w:rsidRDefault="00A87E6B" w:rsidP="00A87E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87E6B">
        <w:rPr>
          <w:rFonts w:cstheme="minorHAnsi"/>
          <w:b/>
        </w:rPr>
        <w:t xml:space="preserve">          RESULTADOS</w:t>
      </w:r>
    </w:p>
    <w:p w:rsidR="00A87E6B" w:rsidRDefault="00A87E6B" w:rsidP="00A87E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71C6D" w:rsidRDefault="00A87E6B" w:rsidP="00F71C6D">
      <w:pPr>
        <w:ind w:left="567"/>
        <w:jc w:val="both"/>
        <w:rPr>
          <w:rFonts w:eastAsia="Times New Roman" w:cstheme="minorHAnsi"/>
          <w:lang w:val="es-ES" w:eastAsia="es-ES"/>
        </w:rPr>
      </w:pPr>
      <w:r w:rsidRPr="00F71C6D">
        <w:rPr>
          <w:rFonts w:cstheme="minorHAnsi"/>
        </w:rPr>
        <w:t xml:space="preserve">Mediante Resolución Directoral </w:t>
      </w:r>
      <w:r w:rsidR="00F71C6D" w:rsidRPr="00F71C6D">
        <w:rPr>
          <w:rFonts w:eastAsia="Times New Roman" w:cstheme="minorHAnsi"/>
          <w:b/>
          <w:lang w:val="es-ES" w:eastAsia="es-ES"/>
        </w:rPr>
        <w:t>Nº 078-2009-PRODUCE/DGEPP</w:t>
      </w:r>
      <w:r w:rsidR="00F71C6D" w:rsidRPr="00F71C6D">
        <w:rPr>
          <w:rFonts w:eastAsia="Times New Roman" w:cstheme="minorHAnsi"/>
          <w:lang w:val="es-ES" w:eastAsia="es-ES"/>
        </w:rPr>
        <w:t xml:space="preserve"> de fecha 05 de Febrero del 2009, el Ministerio de </w:t>
      </w:r>
      <w:smartTag w:uri="urn:schemas-microsoft-com:office:smarttags" w:element="PersonName">
        <w:smartTagPr>
          <w:attr w:name="ProductID" w:val="la Producci￳n"/>
        </w:smartTagPr>
        <w:r w:rsidR="00F71C6D" w:rsidRPr="00F71C6D">
          <w:rPr>
            <w:rFonts w:eastAsia="Times New Roman" w:cstheme="minorHAnsi"/>
            <w:lang w:val="es-ES" w:eastAsia="es-ES"/>
          </w:rPr>
          <w:t>la Producción</w:t>
        </w:r>
      </w:smartTag>
      <w:r w:rsidR="00F71C6D" w:rsidRPr="00F71C6D">
        <w:rPr>
          <w:rFonts w:eastAsia="Times New Roman" w:cstheme="minorHAnsi"/>
          <w:lang w:val="es-ES" w:eastAsia="es-ES"/>
        </w:rPr>
        <w:t xml:space="preserve"> otorgo a la empresa </w:t>
      </w:r>
      <w:r w:rsidR="00F71C6D" w:rsidRPr="00F71C6D">
        <w:rPr>
          <w:rFonts w:eastAsia="Times New Roman" w:cstheme="minorHAnsi"/>
          <w:b/>
          <w:lang w:val="es-ES" w:eastAsia="es-ES"/>
        </w:rPr>
        <w:t>UNITED MARINE</w:t>
      </w:r>
      <w:r w:rsidR="00F71C6D" w:rsidRPr="00F71C6D">
        <w:rPr>
          <w:rFonts w:eastAsia="Times New Roman" w:cstheme="minorHAnsi"/>
          <w:lang w:val="es-ES" w:eastAsia="es-ES"/>
        </w:rPr>
        <w:t xml:space="preserve">  Autorización de Incremento de Flota para la adquisición en el exterior  de una (1) embarcación pesquera de acero denominada ¨SEA QUEST¨</w:t>
      </w:r>
      <w:r w:rsidR="00F71C6D" w:rsidRPr="00F71C6D">
        <w:rPr>
          <w:rFonts w:eastAsia="Times New Roman" w:cstheme="minorHAnsi"/>
          <w:b/>
          <w:lang w:val="es-ES" w:eastAsia="es-ES"/>
        </w:rPr>
        <w:t xml:space="preserve"> </w:t>
      </w:r>
      <w:r w:rsidR="00F71C6D">
        <w:rPr>
          <w:rFonts w:eastAsia="Times New Roman" w:cstheme="minorHAnsi"/>
          <w:lang w:val="es-ES" w:eastAsia="es-ES"/>
        </w:rPr>
        <w:t xml:space="preserve">posteriormente  cambiada </w:t>
      </w:r>
      <w:r w:rsidR="00224DE5">
        <w:rPr>
          <w:rFonts w:eastAsia="Times New Roman" w:cstheme="minorHAnsi"/>
          <w:lang w:val="es-ES" w:eastAsia="es-ES"/>
        </w:rPr>
        <w:t xml:space="preserve">de nombre por </w:t>
      </w:r>
      <w:r w:rsidR="00F71C6D" w:rsidRPr="00F71C6D">
        <w:rPr>
          <w:rFonts w:eastAsia="Times New Roman" w:cstheme="minorHAnsi"/>
          <w:b/>
          <w:lang w:val="es-ES" w:eastAsia="es-ES"/>
        </w:rPr>
        <w:t>E/P TUNUPA  Matricula:</w:t>
      </w:r>
      <w:r w:rsidR="00F71C6D" w:rsidRPr="00F71C6D">
        <w:rPr>
          <w:b/>
        </w:rPr>
        <w:t xml:space="preserve"> </w:t>
      </w:r>
      <w:r w:rsidR="00F71C6D" w:rsidRPr="00F71C6D">
        <w:rPr>
          <w:b/>
        </w:rPr>
        <w:t>CO-29771-PM</w:t>
      </w:r>
      <w:r w:rsidR="00F71C6D">
        <w:rPr>
          <w:rFonts w:eastAsia="Times New Roman" w:cstheme="minorHAnsi"/>
          <w:lang w:val="es-ES" w:eastAsia="es-ES"/>
        </w:rPr>
        <w:t xml:space="preserve">, Capacidad de Bodega </w:t>
      </w:r>
      <w:r w:rsidR="00F71C6D">
        <w:t>495  m3</w:t>
      </w:r>
      <w:r w:rsidR="00F71C6D">
        <w:t xml:space="preserve">. </w:t>
      </w:r>
      <w:r w:rsidR="00F71C6D">
        <w:rPr>
          <w:rFonts w:eastAsia="Times New Roman" w:cstheme="minorHAnsi"/>
          <w:lang w:val="es-ES" w:eastAsia="es-ES"/>
        </w:rPr>
        <w:t>Esta nave, es la única que  cuenta con Permiso de Pesca e Inscrita en los Registro de Barcos Palangreros de la CIAT.</w:t>
      </w:r>
    </w:p>
    <w:p w:rsidR="004379A1" w:rsidRDefault="004379A1" w:rsidP="004379A1">
      <w:pPr>
        <w:ind w:left="567"/>
        <w:jc w:val="center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noProof/>
          <w:lang w:eastAsia="es-PE"/>
        </w:rPr>
        <w:drawing>
          <wp:inline distT="0" distB="0" distL="0" distR="0">
            <wp:extent cx="2467155" cy="1850999"/>
            <wp:effectExtent l="0" t="0" r="0" b="0"/>
            <wp:docPr id="2" name="Imagen 2" descr="G:\BARCOS PALANGRE ATUN\FOTOS TUNUPA 2\100SSCAM\SDC1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ARCOS PALANGRE ATUN\FOTOS TUNUPA 2\100SSCAM\SDC10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86" cy="1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6D" w:rsidRDefault="00F71C6D" w:rsidP="00820A28">
      <w:pPr>
        <w:ind w:left="567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lastRenderedPageBreak/>
        <w:t>Seguidamente</w:t>
      </w:r>
      <w:r w:rsidR="00820A8F">
        <w:rPr>
          <w:rFonts w:eastAsia="Times New Roman" w:cstheme="minorHAnsi"/>
          <w:lang w:val="es-ES" w:eastAsia="es-ES"/>
        </w:rPr>
        <w:t xml:space="preserve"> seis (6) empresas peruanas solicitaron Incremento de Flota para aumentar nuestra flota </w:t>
      </w:r>
      <w:proofErr w:type="spellStart"/>
      <w:r w:rsidR="00820A8F">
        <w:rPr>
          <w:rFonts w:eastAsia="Times New Roman" w:cstheme="minorHAnsi"/>
          <w:lang w:val="es-ES" w:eastAsia="es-ES"/>
        </w:rPr>
        <w:t>palangrera</w:t>
      </w:r>
      <w:proofErr w:type="spellEnd"/>
      <w:r w:rsidR="00820A8F">
        <w:rPr>
          <w:rFonts w:eastAsia="Times New Roman" w:cstheme="minorHAnsi"/>
          <w:lang w:val="es-ES" w:eastAsia="es-ES"/>
        </w:rPr>
        <w:t xml:space="preserve"> pero nuevamente se paralizan estas iniciativas cuando el Vice Ministerio de Pesquería mediante Resolución Directoral N° 308-2012-PRODUCE/DGEPP de fecha 06 de Agosto 2012 </w:t>
      </w:r>
      <w:r w:rsidR="00820A28">
        <w:rPr>
          <w:rFonts w:eastAsia="Times New Roman" w:cstheme="minorHAnsi"/>
          <w:lang w:val="es-ES" w:eastAsia="es-ES"/>
        </w:rPr>
        <w:t xml:space="preserve">Resuelve </w:t>
      </w:r>
      <w:r w:rsidR="00820A8F">
        <w:rPr>
          <w:rFonts w:eastAsia="Times New Roman" w:cstheme="minorHAnsi"/>
          <w:lang w:val="es-ES" w:eastAsia="es-ES"/>
        </w:rPr>
        <w:t>da</w:t>
      </w:r>
      <w:r w:rsidR="009B4C28">
        <w:rPr>
          <w:rFonts w:eastAsia="Times New Roman" w:cstheme="minorHAnsi"/>
          <w:lang w:val="es-ES" w:eastAsia="es-ES"/>
        </w:rPr>
        <w:t>r</w:t>
      </w:r>
      <w:r w:rsidR="00820A8F">
        <w:rPr>
          <w:rFonts w:eastAsia="Times New Roman" w:cstheme="minorHAnsi"/>
          <w:lang w:val="es-ES" w:eastAsia="es-ES"/>
        </w:rPr>
        <w:t xml:space="preserve"> p</w:t>
      </w:r>
      <w:r w:rsidR="009B4C28">
        <w:rPr>
          <w:rFonts w:eastAsia="Times New Roman" w:cstheme="minorHAnsi"/>
          <w:lang w:val="es-ES" w:eastAsia="es-ES"/>
        </w:rPr>
        <w:t>o</w:t>
      </w:r>
      <w:r w:rsidR="00820A8F">
        <w:rPr>
          <w:rFonts w:eastAsia="Times New Roman" w:cstheme="minorHAnsi"/>
          <w:lang w:val="es-ES" w:eastAsia="es-ES"/>
        </w:rPr>
        <w:t xml:space="preserve">r finalizados los procedimientos administrativos de </w:t>
      </w:r>
      <w:r w:rsidR="009B4C28">
        <w:rPr>
          <w:rFonts w:eastAsia="Times New Roman" w:cstheme="minorHAnsi"/>
          <w:lang w:val="es-ES" w:eastAsia="es-ES"/>
        </w:rPr>
        <w:t>Autorización</w:t>
      </w:r>
      <w:r w:rsidR="00820A8F">
        <w:rPr>
          <w:rFonts w:eastAsia="Times New Roman" w:cstheme="minorHAnsi"/>
          <w:lang w:val="es-ES" w:eastAsia="es-ES"/>
        </w:rPr>
        <w:t xml:space="preserve"> de Incremento de Flota para la construcción o adquisición de embarcaciones </w:t>
      </w:r>
      <w:proofErr w:type="spellStart"/>
      <w:r w:rsidR="00820A8F">
        <w:rPr>
          <w:rFonts w:eastAsia="Times New Roman" w:cstheme="minorHAnsi"/>
          <w:lang w:val="es-ES" w:eastAsia="es-ES"/>
        </w:rPr>
        <w:t>palangreras</w:t>
      </w:r>
      <w:proofErr w:type="spellEnd"/>
      <w:r w:rsidR="00820A8F">
        <w:rPr>
          <w:rFonts w:eastAsia="Times New Roman" w:cstheme="minorHAnsi"/>
          <w:lang w:val="es-ES" w:eastAsia="es-ES"/>
        </w:rPr>
        <w:t xml:space="preserve"> de más de 24 metros de eslora total para la extracción del</w:t>
      </w:r>
      <w:r w:rsidR="00272867">
        <w:rPr>
          <w:rFonts w:eastAsia="Times New Roman" w:cstheme="minorHAnsi"/>
          <w:lang w:val="es-ES" w:eastAsia="es-ES"/>
        </w:rPr>
        <w:t xml:space="preserve"> </w:t>
      </w:r>
      <w:r w:rsidR="00820A8F">
        <w:rPr>
          <w:rFonts w:eastAsia="Times New Roman" w:cstheme="minorHAnsi"/>
          <w:lang w:val="es-ES" w:eastAsia="es-ES"/>
        </w:rPr>
        <w:t xml:space="preserve">recurso </w:t>
      </w:r>
      <w:r w:rsidR="00272867">
        <w:rPr>
          <w:rFonts w:eastAsia="Times New Roman" w:cstheme="minorHAnsi"/>
          <w:lang w:val="es-ES" w:eastAsia="es-ES"/>
        </w:rPr>
        <w:t>atún</w:t>
      </w:r>
      <w:r w:rsidR="00820A8F">
        <w:rPr>
          <w:rFonts w:eastAsia="Times New Roman" w:cstheme="minorHAnsi"/>
          <w:lang w:val="es-ES" w:eastAsia="es-ES"/>
        </w:rPr>
        <w:t xml:space="preserve"> y especies </w:t>
      </w:r>
      <w:r w:rsidR="00820A28">
        <w:rPr>
          <w:rFonts w:eastAsia="Times New Roman" w:cstheme="minorHAnsi"/>
          <w:lang w:val="es-ES" w:eastAsia="es-ES"/>
        </w:rPr>
        <w:t xml:space="preserve">afines por los siguientes </w:t>
      </w:r>
      <w:r w:rsidR="009B4C28">
        <w:rPr>
          <w:rFonts w:eastAsia="Times New Roman" w:cstheme="minorHAnsi"/>
          <w:lang w:val="es-ES" w:eastAsia="es-ES"/>
        </w:rPr>
        <w:t>Considerando:</w:t>
      </w:r>
    </w:p>
    <w:p w:rsidR="0065250C" w:rsidRDefault="009B4C28" w:rsidP="007E05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9B4C28">
        <w:rPr>
          <w:rFonts w:cstheme="minorHAnsi"/>
          <w:color w:val="000000"/>
        </w:rPr>
        <w:t xml:space="preserve">Que, en la </w:t>
      </w:r>
      <w:r w:rsidRPr="009B4C28">
        <w:rPr>
          <w:rFonts w:cstheme="minorHAnsi"/>
          <w:bCs/>
          <w:color w:val="000000"/>
        </w:rPr>
        <w:t xml:space="preserve">82ª REUNIÓN </w:t>
      </w:r>
      <w:r w:rsidRPr="009B4C28">
        <w:rPr>
          <w:rFonts w:cstheme="minorHAnsi"/>
          <w:bCs/>
          <w:color w:val="000000"/>
        </w:rPr>
        <w:t xml:space="preserve">de la CIAT realizada en </w:t>
      </w:r>
      <w:r w:rsidRPr="009B4C28">
        <w:rPr>
          <w:rFonts w:cstheme="minorHAnsi"/>
          <w:color w:val="000000"/>
        </w:rPr>
        <w:t xml:space="preserve">La </w:t>
      </w:r>
      <w:proofErr w:type="spellStart"/>
      <w:r w:rsidRPr="009B4C28">
        <w:rPr>
          <w:rFonts w:cstheme="minorHAnsi"/>
          <w:color w:val="000000"/>
        </w:rPr>
        <w:t>Jolla</w:t>
      </w:r>
      <w:proofErr w:type="spellEnd"/>
      <w:r w:rsidRPr="009B4C28">
        <w:rPr>
          <w:rFonts w:cstheme="minorHAnsi"/>
          <w:color w:val="000000"/>
        </w:rPr>
        <w:t>, California</w:t>
      </w:r>
      <w:r w:rsidRPr="009B4C28">
        <w:rPr>
          <w:rFonts w:cstheme="minorHAnsi"/>
          <w:color w:val="000000"/>
        </w:rPr>
        <w:t xml:space="preserve"> (EE.UU.) </w:t>
      </w:r>
      <w:r w:rsidRPr="009B4C28">
        <w:rPr>
          <w:rFonts w:cstheme="minorHAnsi"/>
          <w:color w:val="000000"/>
        </w:rPr>
        <w:t xml:space="preserve">entre el 4 y </w:t>
      </w:r>
      <w:r w:rsidRPr="009B4C28">
        <w:rPr>
          <w:rFonts w:cstheme="minorHAnsi"/>
          <w:color w:val="000000"/>
        </w:rPr>
        <w:t xml:space="preserve">8 </w:t>
      </w:r>
      <w:r w:rsidRPr="009B4C28">
        <w:rPr>
          <w:rFonts w:cstheme="minorHAnsi"/>
          <w:color w:val="000000"/>
        </w:rPr>
        <w:t xml:space="preserve">de Julio de 2011, se aprobó la Resolución  </w:t>
      </w:r>
      <w:r w:rsidRPr="009B4C28">
        <w:rPr>
          <w:rFonts w:cstheme="minorHAnsi"/>
          <w:bCs/>
          <w:color w:val="000000"/>
        </w:rPr>
        <w:t>C-11-01</w:t>
      </w:r>
      <w:r w:rsidRPr="009B4C28">
        <w:rPr>
          <w:rFonts w:cstheme="minorHAnsi"/>
          <w:bCs/>
          <w:color w:val="000000"/>
        </w:rPr>
        <w:t xml:space="preserve"> sobre un programa Internacional para para la </w:t>
      </w:r>
      <w:r w:rsidR="007E05B5" w:rsidRPr="009B4C28">
        <w:rPr>
          <w:rFonts w:cstheme="minorHAnsi"/>
          <w:bCs/>
          <w:color w:val="000000"/>
        </w:rPr>
        <w:t>conservación</w:t>
      </w:r>
      <w:r w:rsidRPr="009B4C28">
        <w:rPr>
          <w:rFonts w:cstheme="minorHAnsi"/>
          <w:bCs/>
          <w:color w:val="000000"/>
        </w:rPr>
        <w:t xml:space="preserve"> de los Atunes, </w:t>
      </w:r>
      <w:r w:rsidR="007C329A">
        <w:rPr>
          <w:rFonts w:cstheme="minorHAnsi"/>
          <w:color w:val="000000"/>
        </w:rPr>
        <w:t xml:space="preserve">medidas </w:t>
      </w:r>
      <w:r w:rsidR="0065250C" w:rsidRPr="0065250C">
        <w:rPr>
          <w:rFonts w:cstheme="minorHAnsi"/>
          <w:color w:val="000000"/>
        </w:rPr>
        <w:t xml:space="preserve">aplicables en los años 2011-2013 a todos los buques de las CPC de cerco de clase de capacidad de la CIAT 4 a 6 (más de 182 toneladas métricas de capacidad de acarreo), y a todos sus buques de palangre de más de 24 metros de eslora total, que pesquen los atunes aleta amarilla, patudo y barrilete en el OPO. </w:t>
      </w:r>
      <w:r w:rsidR="007C329A">
        <w:rPr>
          <w:rFonts w:cstheme="minorHAnsi"/>
          <w:color w:val="000000"/>
        </w:rPr>
        <w:t xml:space="preserve"> </w:t>
      </w:r>
    </w:p>
    <w:p w:rsidR="007C329A" w:rsidRDefault="007C329A" w:rsidP="007E05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</w:p>
    <w:p w:rsidR="007C329A" w:rsidRDefault="007C329A" w:rsidP="007C32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Que, en la citada resolución se acuerda que todas la CPC, se comprometen a asegurar que la captura anual total de </w:t>
      </w:r>
      <w:r w:rsidR="004E5A07">
        <w:rPr>
          <w:rFonts w:cstheme="minorHAnsi"/>
          <w:color w:val="000000"/>
        </w:rPr>
        <w:t>atún</w:t>
      </w:r>
      <w:r>
        <w:rPr>
          <w:rFonts w:cstheme="minorHAnsi"/>
          <w:color w:val="000000"/>
        </w:rPr>
        <w:t xml:space="preserve"> Patudo por sus buques de palangre en el OPO durante 2011 – 2013 no supere 500 toneladas métricas a sus capturas respectivas de 2001. </w:t>
      </w:r>
      <w:r w:rsidR="004E5A07">
        <w:rPr>
          <w:rFonts w:cstheme="minorHAnsi"/>
          <w:color w:val="000000"/>
        </w:rPr>
        <w:t xml:space="preserve"> Sobre el particular no se menciona la recomendación de IMARPE, información importante para determinar el número de barcos palangreros que el Perú puede tener.</w:t>
      </w:r>
    </w:p>
    <w:p w:rsidR="007C329A" w:rsidRDefault="007C329A" w:rsidP="007C32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bookmarkStart w:id="0" w:name="_GoBack"/>
      <w:bookmarkEnd w:id="0"/>
    </w:p>
    <w:p w:rsidR="00272867" w:rsidRPr="007C329A" w:rsidRDefault="00272867" w:rsidP="007C32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>
        <w:rPr>
          <w:rFonts w:eastAsia="Times New Roman" w:cstheme="minorHAnsi"/>
          <w:lang w:val="es-ES" w:eastAsia="es-ES"/>
        </w:rPr>
        <w:t>Entre sus Considerando se menciona que la Asesoría Jurídica mediante Informe N° 030-2012-PRODUCE/OGAJ-hcárdenas</w:t>
      </w:r>
      <w:r w:rsidR="00436F21">
        <w:rPr>
          <w:rFonts w:eastAsia="Times New Roman" w:cstheme="minorHAnsi"/>
          <w:lang w:val="es-ES" w:eastAsia="es-ES"/>
        </w:rPr>
        <w:t xml:space="preserve"> concl</w:t>
      </w:r>
      <w:r>
        <w:rPr>
          <w:rFonts w:eastAsia="Times New Roman" w:cstheme="minorHAnsi"/>
          <w:lang w:val="es-ES" w:eastAsia="es-ES"/>
        </w:rPr>
        <w:t xml:space="preserve">uye que el tratamiento que debe darse a las solicitudes de </w:t>
      </w:r>
      <w:r w:rsidR="00436F21">
        <w:rPr>
          <w:rFonts w:eastAsia="Times New Roman" w:cstheme="minorHAnsi"/>
          <w:lang w:val="es-ES" w:eastAsia="es-ES"/>
        </w:rPr>
        <w:t>Autorización</w:t>
      </w:r>
      <w:r>
        <w:rPr>
          <w:rFonts w:eastAsia="Times New Roman" w:cstheme="minorHAnsi"/>
          <w:lang w:val="es-ES" w:eastAsia="es-ES"/>
        </w:rPr>
        <w:t xml:space="preserve"> de Incremento de Flota para acceder a la pesquería del </w:t>
      </w:r>
      <w:r w:rsidR="00436F21">
        <w:rPr>
          <w:rFonts w:eastAsia="Times New Roman" w:cstheme="minorHAnsi"/>
          <w:lang w:val="es-ES" w:eastAsia="es-ES"/>
        </w:rPr>
        <w:t>Atún</w:t>
      </w:r>
      <w:r>
        <w:rPr>
          <w:rFonts w:eastAsia="Times New Roman" w:cstheme="minorHAnsi"/>
          <w:lang w:val="es-ES" w:eastAsia="es-ES"/>
        </w:rPr>
        <w:t xml:space="preserve"> es mediante Concurso </w:t>
      </w:r>
      <w:r w:rsidR="00436F21">
        <w:rPr>
          <w:rFonts w:eastAsia="Times New Roman" w:cstheme="minorHAnsi"/>
          <w:lang w:val="es-ES" w:eastAsia="es-ES"/>
        </w:rPr>
        <w:t>Público</w:t>
      </w:r>
      <w:r>
        <w:rPr>
          <w:rFonts w:eastAsia="Times New Roman" w:cstheme="minorHAnsi"/>
          <w:lang w:val="es-ES" w:eastAsia="es-ES"/>
        </w:rPr>
        <w:t>, previa determinación de la</w:t>
      </w:r>
      <w:r w:rsidR="00436F21">
        <w:rPr>
          <w:rFonts w:eastAsia="Times New Roman" w:cstheme="minorHAnsi"/>
          <w:lang w:val="es-ES" w:eastAsia="es-ES"/>
        </w:rPr>
        <w:t xml:space="preserve"> cuota asignada al estado  peruano por l</w:t>
      </w:r>
      <w:r>
        <w:rPr>
          <w:rFonts w:eastAsia="Times New Roman" w:cstheme="minorHAnsi"/>
          <w:lang w:val="es-ES" w:eastAsia="es-ES"/>
        </w:rPr>
        <w:t xml:space="preserve">a </w:t>
      </w:r>
      <w:r w:rsidR="00436F21">
        <w:rPr>
          <w:rFonts w:eastAsia="Times New Roman" w:cstheme="minorHAnsi"/>
          <w:lang w:val="es-ES" w:eastAsia="es-ES"/>
        </w:rPr>
        <w:t>Comisión</w:t>
      </w:r>
      <w:r>
        <w:rPr>
          <w:rFonts w:eastAsia="Times New Roman" w:cstheme="minorHAnsi"/>
          <w:lang w:val="es-ES" w:eastAsia="es-ES"/>
        </w:rPr>
        <w:t xml:space="preserve"> Interamericana del </w:t>
      </w:r>
      <w:r w:rsidR="00436F21">
        <w:rPr>
          <w:rFonts w:eastAsia="Times New Roman" w:cstheme="minorHAnsi"/>
          <w:lang w:val="es-ES" w:eastAsia="es-ES"/>
        </w:rPr>
        <w:t>Atún</w:t>
      </w:r>
      <w:r>
        <w:rPr>
          <w:rFonts w:eastAsia="Times New Roman" w:cstheme="minorHAnsi"/>
          <w:lang w:val="es-ES" w:eastAsia="es-ES"/>
        </w:rPr>
        <w:t xml:space="preserve"> Tropical</w:t>
      </w:r>
      <w:r w:rsidR="00436F21">
        <w:rPr>
          <w:rFonts w:eastAsia="Times New Roman" w:cstheme="minorHAnsi"/>
          <w:lang w:val="es-ES" w:eastAsia="es-ES"/>
        </w:rPr>
        <w:t xml:space="preserve"> y a la recomendación que haga el IMARPE recomendando suspender la recepción de solicitudes para el otorgamiento de Incremento de Flota</w:t>
      </w:r>
    </w:p>
    <w:p w:rsidR="007A0C07" w:rsidRDefault="007A0C07" w:rsidP="004E5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0826" w:rsidRDefault="007A0C07" w:rsidP="004E5A07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94522E">
        <w:rPr>
          <w:rFonts w:eastAsia="Times New Roman" w:cstheme="minorHAnsi"/>
          <w:color w:val="333333"/>
          <w:lang w:val="es-ES" w:eastAsia="es-ES"/>
        </w:rPr>
        <w:t>E</w:t>
      </w:r>
      <w:r w:rsidRPr="0094522E">
        <w:rPr>
          <w:rFonts w:eastAsia="Times New Roman" w:cstheme="minorHAnsi"/>
          <w:lang w:eastAsia="es-ES"/>
        </w:rPr>
        <w:t xml:space="preserve">l Perú volvió a insistir en aumentar su capacidad de bodega en la pesca de atún durante la 79° </w:t>
      </w:r>
      <w:r>
        <w:rPr>
          <w:rFonts w:eastAsia="Times New Roman" w:cstheme="minorHAnsi"/>
          <w:lang w:eastAsia="es-ES"/>
        </w:rPr>
        <w:t xml:space="preserve">y 80° </w:t>
      </w:r>
      <w:r w:rsidRPr="0094522E">
        <w:rPr>
          <w:rFonts w:eastAsia="Times New Roman" w:cstheme="minorHAnsi"/>
          <w:lang w:eastAsia="es-ES"/>
        </w:rPr>
        <w:t xml:space="preserve">Reunión de </w:t>
      </w:r>
      <w:smartTag w:uri="urn:schemas-microsoft-com:office:smarttags" w:element="PersonName">
        <w:smartTagPr>
          <w:attr w:name="ProductID" w:val="La Comisi￳n Interamericana"/>
        </w:smartTagPr>
        <w:r w:rsidRPr="0094522E">
          <w:rPr>
            <w:rFonts w:eastAsia="Times New Roman" w:cstheme="minorHAnsi"/>
            <w:lang w:eastAsia="es-ES"/>
          </w:rPr>
          <w:t>la Comisión Interamericana</w:t>
        </w:r>
      </w:smartTag>
      <w:r w:rsidRPr="0094522E">
        <w:rPr>
          <w:rFonts w:eastAsia="Times New Roman" w:cstheme="minorHAnsi"/>
          <w:lang w:eastAsia="es-ES"/>
        </w:rPr>
        <w:t xml:space="preserve"> del Atún Tropical (CIAT) que se desarrolló en el mes de Junio 2008 en </w:t>
      </w:r>
      <w:smartTag w:uri="urn:schemas-microsoft-com:office:smarttags" w:element="PersonName">
        <w:smartTagPr>
          <w:attr w:name="ProductID" w:val="La Jolla"/>
        </w:smartTagPr>
        <w:r w:rsidRPr="0094522E">
          <w:rPr>
            <w:rFonts w:eastAsia="Times New Roman" w:cstheme="minorHAnsi"/>
            <w:lang w:eastAsia="es-ES"/>
          </w:rPr>
          <w:t xml:space="preserve">La </w:t>
        </w:r>
        <w:proofErr w:type="spellStart"/>
        <w:r w:rsidRPr="0094522E">
          <w:rPr>
            <w:rFonts w:eastAsia="Times New Roman" w:cstheme="minorHAnsi"/>
            <w:lang w:eastAsia="es-ES"/>
          </w:rPr>
          <w:t>Jolla</w:t>
        </w:r>
      </w:smartTag>
      <w:proofErr w:type="spellEnd"/>
      <w:r w:rsidRPr="0094522E">
        <w:rPr>
          <w:rFonts w:eastAsia="Times New Roman" w:cstheme="minorHAnsi"/>
          <w:lang w:eastAsia="es-ES"/>
        </w:rPr>
        <w:t xml:space="preserve">, California –Estados Unidos,  aumentar de </w:t>
      </w:r>
      <w:smartTag w:uri="urn:schemas-microsoft-com:office:smarttags" w:element="metricconverter">
        <w:smartTagPr>
          <w:attr w:name="ProductID" w:val="3,195 a"/>
        </w:smartTagPr>
        <w:r w:rsidRPr="0094522E">
          <w:rPr>
            <w:rFonts w:eastAsia="Times New Roman" w:cstheme="minorHAnsi"/>
            <w:lang w:eastAsia="es-ES"/>
          </w:rPr>
          <w:t>3,195 a</w:t>
        </w:r>
      </w:smartTag>
      <w:r w:rsidRPr="0094522E">
        <w:rPr>
          <w:rFonts w:eastAsia="Times New Roman" w:cstheme="minorHAnsi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14,046 m3"/>
        </w:smartTagPr>
        <w:r w:rsidRPr="0094522E">
          <w:rPr>
            <w:rFonts w:eastAsia="Times New Roman" w:cstheme="minorHAnsi"/>
            <w:lang w:eastAsia="es-ES"/>
          </w:rPr>
          <w:t>14,046 m3</w:t>
        </w:r>
      </w:smartTag>
      <w:r w:rsidRPr="0094522E">
        <w:rPr>
          <w:rFonts w:eastAsia="Times New Roman" w:cstheme="minorHAnsi"/>
          <w:lang w:eastAsia="es-ES"/>
        </w:rPr>
        <w:t xml:space="preserve"> su capacidad de bodega para la pesca de atún. Planteamiento formulado por nuestro Vise Ministro de Pesquería</w:t>
      </w:r>
      <w:r>
        <w:rPr>
          <w:rFonts w:eastAsia="Times New Roman" w:cstheme="minorHAnsi"/>
          <w:lang w:eastAsia="es-ES"/>
        </w:rPr>
        <w:t xml:space="preserve"> de entonces.</w:t>
      </w:r>
    </w:p>
    <w:p w:rsidR="004E5A07" w:rsidRPr="004E5A07" w:rsidRDefault="004E5A07" w:rsidP="004E5A07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0930BB" w:rsidRPr="005D2B85" w:rsidRDefault="000930BB" w:rsidP="004E5A07">
      <w:pPr>
        <w:pStyle w:val="Default"/>
        <w:numPr>
          <w:ilvl w:val="0"/>
          <w:numId w:val="3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2B85">
        <w:rPr>
          <w:rFonts w:asciiTheme="minorHAnsi" w:hAnsiTheme="minorHAnsi" w:cstheme="minorHAnsi"/>
          <w:b/>
          <w:bCs/>
          <w:sz w:val="22"/>
          <w:szCs w:val="22"/>
        </w:rPr>
        <w:t xml:space="preserve">RESOLUCION C-11-12 </w:t>
      </w:r>
    </w:p>
    <w:p w:rsidR="000930BB" w:rsidRPr="000930BB" w:rsidRDefault="000930BB" w:rsidP="00DF0140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930BB" w:rsidRPr="00120826" w:rsidRDefault="000930BB" w:rsidP="00DF0140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0826">
        <w:rPr>
          <w:rFonts w:asciiTheme="minorHAnsi" w:hAnsiTheme="minorHAnsi" w:cstheme="minorHAnsi"/>
          <w:b/>
          <w:sz w:val="22"/>
          <w:szCs w:val="22"/>
        </w:rPr>
        <w:t xml:space="preserve">RESOLUCIÓN SOBRE LA CAPACIDAD DE ACARREO DE PERU </w:t>
      </w:r>
    </w:p>
    <w:p w:rsidR="000930BB" w:rsidRPr="000930BB" w:rsidRDefault="000930BB" w:rsidP="00DF0140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930BB" w:rsidRPr="00120826" w:rsidRDefault="000930BB" w:rsidP="00120826">
      <w:pPr>
        <w:pStyle w:val="Default"/>
        <w:tabs>
          <w:tab w:val="left" w:pos="7938"/>
          <w:tab w:val="left" w:pos="8505"/>
        </w:tabs>
        <w:ind w:left="567"/>
      </w:pPr>
      <w:r w:rsidRPr="000930BB">
        <w:rPr>
          <w:rFonts w:asciiTheme="minorHAnsi" w:hAnsiTheme="minorHAnsi" w:cstheme="minorHAnsi"/>
          <w:sz w:val="22"/>
          <w:szCs w:val="22"/>
        </w:rPr>
        <w:t xml:space="preserve">La Comisión Interamericana del Atún Tropical (CIAT) , </w:t>
      </w:r>
      <w:r w:rsidR="004E5A07">
        <w:rPr>
          <w:rFonts w:asciiTheme="minorHAnsi" w:hAnsiTheme="minorHAnsi" w:cstheme="minorHAnsi"/>
          <w:sz w:val="22"/>
          <w:szCs w:val="22"/>
        </w:rPr>
        <w:t xml:space="preserve">reunida en La </w:t>
      </w:r>
      <w:proofErr w:type="spellStart"/>
      <w:r w:rsidR="004E5A07">
        <w:rPr>
          <w:rFonts w:asciiTheme="minorHAnsi" w:hAnsiTheme="minorHAnsi" w:cstheme="minorHAnsi"/>
          <w:sz w:val="22"/>
          <w:szCs w:val="22"/>
        </w:rPr>
        <w:t>Jo</w:t>
      </w:r>
      <w:r w:rsidR="00120826">
        <w:rPr>
          <w:rFonts w:asciiTheme="minorHAnsi" w:hAnsiTheme="minorHAnsi" w:cstheme="minorHAnsi"/>
          <w:sz w:val="22"/>
          <w:szCs w:val="22"/>
        </w:rPr>
        <w:t>lla</w:t>
      </w:r>
      <w:proofErr w:type="spellEnd"/>
      <w:r w:rsidR="00120826">
        <w:rPr>
          <w:rFonts w:asciiTheme="minorHAnsi" w:hAnsiTheme="minorHAnsi" w:cstheme="minorHAnsi"/>
          <w:sz w:val="22"/>
          <w:szCs w:val="22"/>
        </w:rPr>
        <w:t xml:space="preserve">, California </w:t>
      </w:r>
      <w:r w:rsidRPr="000930BB">
        <w:rPr>
          <w:rFonts w:asciiTheme="minorHAnsi" w:hAnsiTheme="minorHAnsi" w:cstheme="minorHAnsi"/>
          <w:sz w:val="22"/>
          <w:szCs w:val="22"/>
        </w:rPr>
        <w:t>(EE.UU.), en la ocasión de su 82ª Reunión</w:t>
      </w:r>
      <w:r w:rsidR="00120826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120826" w:rsidRPr="00120826">
        <w:rPr>
          <w:rFonts w:asciiTheme="minorHAnsi" w:hAnsiTheme="minorHAnsi" w:cstheme="minorHAnsi"/>
          <w:iCs/>
          <w:sz w:val="22"/>
          <w:szCs w:val="22"/>
        </w:rPr>
        <w:t>de fecha</w:t>
      </w:r>
      <w:r w:rsidR="001208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20826">
        <w:rPr>
          <w:rFonts w:asciiTheme="minorHAnsi" w:hAnsiTheme="minorHAnsi" w:cstheme="minorHAnsi"/>
          <w:sz w:val="22"/>
          <w:szCs w:val="22"/>
        </w:rPr>
        <w:t>4-8 de Julio</w:t>
      </w:r>
      <w:r w:rsidR="00120826" w:rsidRPr="00120826">
        <w:rPr>
          <w:rFonts w:asciiTheme="minorHAnsi" w:hAnsiTheme="minorHAnsi" w:cstheme="minorHAnsi"/>
          <w:sz w:val="22"/>
          <w:szCs w:val="22"/>
        </w:rPr>
        <w:t xml:space="preserve"> 2011</w:t>
      </w:r>
    </w:p>
    <w:p w:rsidR="000930BB" w:rsidRPr="000930BB" w:rsidRDefault="000930BB" w:rsidP="008C788A">
      <w:pPr>
        <w:pStyle w:val="Default"/>
        <w:tabs>
          <w:tab w:val="left" w:pos="8505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0930BB" w:rsidRPr="00EC1E82" w:rsidRDefault="000930BB" w:rsidP="008C788A">
      <w:pPr>
        <w:pStyle w:val="Default"/>
        <w:tabs>
          <w:tab w:val="left" w:pos="850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C1E82">
        <w:rPr>
          <w:rFonts w:asciiTheme="minorHAnsi" w:hAnsiTheme="minorHAnsi" w:cstheme="minorHAnsi"/>
          <w:iCs/>
          <w:sz w:val="22"/>
          <w:szCs w:val="22"/>
        </w:rPr>
        <w:t xml:space="preserve">Teniendo presente </w:t>
      </w:r>
      <w:r w:rsidRPr="00EC1E82">
        <w:rPr>
          <w:rFonts w:asciiTheme="minorHAnsi" w:hAnsiTheme="minorHAnsi" w:cstheme="minorHAnsi"/>
          <w:sz w:val="22"/>
          <w:szCs w:val="22"/>
        </w:rPr>
        <w:t xml:space="preserve">lo señalado en pie de página de la Resolución C-02-03 </w:t>
      </w:r>
      <w:r w:rsidR="008C788A">
        <w:rPr>
          <w:rFonts w:asciiTheme="minorHAnsi" w:hAnsiTheme="minorHAnsi" w:cstheme="minorHAnsi"/>
          <w:iCs/>
          <w:sz w:val="22"/>
          <w:szCs w:val="22"/>
        </w:rPr>
        <w:t xml:space="preserve">sobre la </w:t>
      </w:r>
      <w:r w:rsidRPr="00EC1E82">
        <w:rPr>
          <w:rFonts w:asciiTheme="minorHAnsi" w:hAnsiTheme="minorHAnsi" w:cstheme="minorHAnsi"/>
          <w:iCs/>
          <w:sz w:val="22"/>
          <w:szCs w:val="22"/>
        </w:rPr>
        <w:t xml:space="preserve">capacidad de la flota operando en el OPO </w:t>
      </w:r>
      <w:r w:rsidRPr="00EC1E82">
        <w:rPr>
          <w:rFonts w:asciiTheme="minorHAnsi" w:hAnsiTheme="minorHAnsi" w:cstheme="minorHAnsi"/>
          <w:sz w:val="22"/>
          <w:szCs w:val="22"/>
        </w:rPr>
        <w:t xml:space="preserve">en relación con el párrafo 10 de la misma; </w:t>
      </w:r>
    </w:p>
    <w:p w:rsidR="000930BB" w:rsidRPr="00EC1E82" w:rsidRDefault="000930BB" w:rsidP="008C788A">
      <w:pPr>
        <w:pStyle w:val="Default"/>
        <w:tabs>
          <w:tab w:val="left" w:pos="850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EC1E82">
        <w:rPr>
          <w:rFonts w:asciiTheme="minorHAnsi" w:hAnsiTheme="minorHAnsi" w:cstheme="minorHAnsi"/>
          <w:iCs/>
          <w:sz w:val="22"/>
          <w:szCs w:val="22"/>
        </w:rPr>
        <w:t xml:space="preserve">Considerando </w:t>
      </w:r>
      <w:r w:rsidRPr="00EC1E82">
        <w:rPr>
          <w:rFonts w:asciiTheme="minorHAnsi" w:hAnsiTheme="minorHAnsi" w:cstheme="minorHAnsi"/>
          <w:sz w:val="22"/>
          <w:szCs w:val="22"/>
        </w:rPr>
        <w:t xml:space="preserve">la solicitud presentada por el Gobierno de Perú; </w:t>
      </w:r>
    </w:p>
    <w:p w:rsidR="000930BB" w:rsidRPr="000930BB" w:rsidRDefault="000930BB" w:rsidP="008C788A">
      <w:pPr>
        <w:pStyle w:val="Default"/>
        <w:tabs>
          <w:tab w:val="left" w:pos="8505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0930BB" w:rsidRPr="000930BB" w:rsidRDefault="000930BB" w:rsidP="008C788A">
      <w:pPr>
        <w:pStyle w:val="Default"/>
        <w:tabs>
          <w:tab w:val="left" w:pos="8505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0930BB">
        <w:rPr>
          <w:rFonts w:asciiTheme="minorHAnsi" w:hAnsiTheme="minorHAnsi" w:cstheme="minorHAnsi"/>
          <w:i/>
          <w:iCs/>
          <w:sz w:val="22"/>
          <w:szCs w:val="22"/>
        </w:rPr>
        <w:t xml:space="preserve">Notando </w:t>
      </w:r>
      <w:r w:rsidRPr="000930BB">
        <w:rPr>
          <w:rFonts w:asciiTheme="minorHAnsi" w:hAnsiTheme="minorHAnsi" w:cstheme="minorHAnsi"/>
          <w:sz w:val="22"/>
          <w:szCs w:val="22"/>
        </w:rPr>
        <w:t xml:space="preserve">la recomendación positiva sometida por el Grupo de Trabajo Permanente sobre Capacidad de Acarreo; y </w:t>
      </w:r>
    </w:p>
    <w:p w:rsidR="000930BB" w:rsidRPr="000930BB" w:rsidRDefault="000930BB" w:rsidP="008C788A">
      <w:pPr>
        <w:pStyle w:val="Default"/>
        <w:tabs>
          <w:tab w:val="left" w:pos="8505"/>
        </w:tabs>
        <w:ind w:left="567"/>
        <w:rPr>
          <w:rFonts w:asciiTheme="minorHAnsi" w:hAnsiTheme="minorHAnsi" w:cstheme="minorHAnsi"/>
          <w:sz w:val="22"/>
          <w:szCs w:val="22"/>
        </w:rPr>
      </w:pPr>
    </w:p>
    <w:p w:rsidR="000930BB" w:rsidRPr="00120826" w:rsidRDefault="000930BB" w:rsidP="008C788A">
      <w:pPr>
        <w:pStyle w:val="Default"/>
        <w:tabs>
          <w:tab w:val="left" w:pos="8505"/>
        </w:tabs>
        <w:ind w:left="567"/>
        <w:rPr>
          <w:rFonts w:asciiTheme="minorHAnsi" w:hAnsiTheme="minorHAnsi" w:cstheme="minorHAnsi"/>
          <w:b/>
          <w:sz w:val="22"/>
          <w:szCs w:val="22"/>
        </w:rPr>
      </w:pPr>
      <w:r w:rsidRPr="0012082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Tomando en cuenta </w:t>
      </w:r>
      <w:r w:rsidRPr="00120826">
        <w:rPr>
          <w:rFonts w:asciiTheme="minorHAnsi" w:hAnsiTheme="minorHAnsi" w:cstheme="minorHAnsi"/>
          <w:b/>
          <w:sz w:val="22"/>
          <w:szCs w:val="22"/>
        </w:rPr>
        <w:t>qu</w:t>
      </w:r>
      <w:r w:rsidRPr="0012082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e </w:t>
      </w:r>
      <w:r w:rsidRPr="00120826">
        <w:rPr>
          <w:rFonts w:asciiTheme="minorHAnsi" w:hAnsiTheme="minorHAnsi" w:cstheme="minorHAnsi"/>
          <w:b/>
          <w:sz w:val="22"/>
          <w:szCs w:val="22"/>
        </w:rPr>
        <w:t xml:space="preserve">la capacidad operativa actual no es superior a la capacidad activa que se incluyó en el Registro Regional en el 2002; </w:t>
      </w:r>
    </w:p>
    <w:p w:rsidR="00EC1E82" w:rsidRPr="000930BB" w:rsidRDefault="00EC1E82" w:rsidP="004E5A07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</w:p>
    <w:p w:rsidR="000930BB" w:rsidRPr="000930BB" w:rsidRDefault="000930BB" w:rsidP="00DF0140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930BB">
        <w:rPr>
          <w:rFonts w:asciiTheme="minorHAnsi" w:hAnsiTheme="minorHAnsi" w:cstheme="minorHAnsi"/>
          <w:sz w:val="22"/>
          <w:szCs w:val="22"/>
        </w:rPr>
        <w:lastRenderedPageBreak/>
        <w:t xml:space="preserve">Acuerda: </w:t>
      </w:r>
    </w:p>
    <w:p w:rsidR="000930BB" w:rsidRPr="000930BB" w:rsidRDefault="000930BB" w:rsidP="00DF0140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930BB" w:rsidRDefault="000930BB" w:rsidP="00DF0140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930BB">
        <w:rPr>
          <w:rFonts w:asciiTheme="minorHAnsi" w:hAnsiTheme="minorHAnsi" w:cstheme="minorHAnsi"/>
          <w:sz w:val="22"/>
          <w:szCs w:val="22"/>
        </w:rPr>
        <w:t xml:space="preserve">Aprobar la asignación a Perú de una capacidad de acarreo de </w:t>
      </w:r>
      <w:r w:rsidRPr="00DF0140">
        <w:rPr>
          <w:rFonts w:asciiTheme="minorHAnsi" w:hAnsiTheme="minorHAnsi" w:cstheme="minorHAnsi"/>
          <w:b/>
          <w:sz w:val="22"/>
          <w:szCs w:val="22"/>
        </w:rPr>
        <w:t>5,000 metros cúbicos</w:t>
      </w:r>
      <w:r w:rsidRPr="000930BB">
        <w:rPr>
          <w:rFonts w:asciiTheme="minorHAnsi" w:hAnsiTheme="minorHAnsi" w:cstheme="minorHAnsi"/>
          <w:sz w:val="22"/>
          <w:szCs w:val="22"/>
        </w:rPr>
        <w:t xml:space="preserve">, para ser utilizada por barcos de bandera peruana que operarán solamente en las áreas marinas bajo jurisdicción de Perú. </w:t>
      </w:r>
    </w:p>
    <w:p w:rsidR="00120826" w:rsidRPr="000930BB" w:rsidRDefault="00120826" w:rsidP="00DF0140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EC1E82" w:rsidRDefault="000930BB" w:rsidP="008C788A">
      <w:pPr>
        <w:ind w:left="567"/>
        <w:jc w:val="both"/>
        <w:rPr>
          <w:rFonts w:cstheme="minorHAnsi"/>
        </w:rPr>
      </w:pPr>
      <w:r w:rsidRPr="000930BB">
        <w:rPr>
          <w:rFonts w:cstheme="minorHAnsi"/>
        </w:rPr>
        <w:t>Se entiende también que esta capacidad no puede ser transferida a otras banderas, ni utilizada para fletamento de barcos de otras banderas.</w:t>
      </w:r>
    </w:p>
    <w:p w:rsidR="005D2B85" w:rsidRDefault="00EC1E82" w:rsidP="00240003">
      <w:pPr>
        <w:ind w:left="567"/>
        <w:jc w:val="both"/>
        <w:rPr>
          <w:rFonts w:cstheme="minorHAnsi"/>
          <w:b/>
          <w:sz w:val="28"/>
          <w:szCs w:val="28"/>
        </w:rPr>
      </w:pPr>
      <w:r w:rsidRPr="00EC1E82">
        <w:rPr>
          <w:rFonts w:cstheme="minorHAnsi"/>
          <w:b/>
          <w:sz w:val="28"/>
          <w:szCs w:val="28"/>
        </w:rPr>
        <w:t>RESULTADOS</w:t>
      </w:r>
    </w:p>
    <w:p w:rsidR="008C788A" w:rsidRDefault="008C788A" w:rsidP="00240003">
      <w:pPr>
        <w:ind w:left="567"/>
        <w:jc w:val="both"/>
        <w:rPr>
          <w:rFonts w:cstheme="minorHAnsi"/>
        </w:rPr>
      </w:pPr>
      <w:r w:rsidRPr="008C788A">
        <w:rPr>
          <w:rFonts w:cstheme="minorHAnsi"/>
          <w:sz w:val="28"/>
          <w:szCs w:val="28"/>
        </w:rPr>
        <w:t>Ninguno</w:t>
      </w:r>
      <w:r>
        <w:rPr>
          <w:rFonts w:cstheme="minorHAnsi"/>
          <w:sz w:val="28"/>
          <w:szCs w:val="28"/>
        </w:rPr>
        <w:t xml:space="preserve">, </w:t>
      </w:r>
      <w:r w:rsidRPr="008C788A">
        <w:rPr>
          <w:rFonts w:cstheme="minorHAnsi"/>
        </w:rPr>
        <w:t xml:space="preserve">Aun no se toma la decisión </w:t>
      </w:r>
      <w:r>
        <w:rPr>
          <w:rFonts w:cstheme="minorHAnsi"/>
        </w:rPr>
        <w:t>de</w:t>
      </w:r>
      <w:r w:rsidRPr="008C788A">
        <w:rPr>
          <w:rFonts w:cstheme="minorHAnsi"/>
        </w:rPr>
        <w:t xml:space="preserve"> </w:t>
      </w:r>
      <w:r>
        <w:rPr>
          <w:rFonts w:cstheme="minorHAnsi"/>
        </w:rPr>
        <w:t xml:space="preserve">licitar la asignación de los 500 m3 por la CIAT al Perú. </w:t>
      </w:r>
    </w:p>
    <w:p w:rsidR="008C788A" w:rsidRPr="008C788A" w:rsidRDefault="008C788A" w:rsidP="00240003">
      <w:pPr>
        <w:ind w:left="567"/>
        <w:jc w:val="both"/>
        <w:rPr>
          <w:rFonts w:cstheme="minorHAnsi"/>
        </w:rPr>
      </w:pPr>
    </w:p>
    <w:p w:rsidR="00240003" w:rsidRDefault="00240003" w:rsidP="00DF0140">
      <w:pPr>
        <w:ind w:left="567"/>
        <w:jc w:val="both"/>
        <w:rPr>
          <w:rFonts w:cstheme="minorHAnsi"/>
          <w:b/>
          <w:sz w:val="28"/>
          <w:szCs w:val="28"/>
        </w:rPr>
      </w:pPr>
    </w:p>
    <w:p w:rsidR="0035056D" w:rsidRPr="000930BB" w:rsidRDefault="0035056D" w:rsidP="00DF0140">
      <w:pPr>
        <w:jc w:val="both"/>
      </w:pPr>
    </w:p>
    <w:sectPr w:rsidR="0035056D" w:rsidRPr="000930BB" w:rsidSect="008C788A">
      <w:pgSz w:w="11907" w:h="16840" w:code="9"/>
      <w:pgMar w:top="113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D4F76"/>
    <w:multiLevelType w:val="hybridMultilevel"/>
    <w:tmpl w:val="18CE0B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688A"/>
    <w:multiLevelType w:val="hybridMultilevel"/>
    <w:tmpl w:val="E77638BC"/>
    <w:lvl w:ilvl="0" w:tplc="3F588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E64C52"/>
    <w:multiLevelType w:val="hybridMultilevel"/>
    <w:tmpl w:val="838E5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D"/>
    <w:rsid w:val="000930BB"/>
    <w:rsid w:val="000F2969"/>
    <w:rsid w:val="00120826"/>
    <w:rsid w:val="0015601B"/>
    <w:rsid w:val="001D6651"/>
    <w:rsid w:val="00224DE5"/>
    <w:rsid w:val="00240003"/>
    <w:rsid w:val="00272867"/>
    <w:rsid w:val="00297D9C"/>
    <w:rsid w:val="0035056D"/>
    <w:rsid w:val="003927B6"/>
    <w:rsid w:val="00436F21"/>
    <w:rsid w:val="004379A1"/>
    <w:rsid w:val="00460452"/>
    <w:rsid w:val="004B0222"/>
    <w:rsid w:val="004E5A07"/>
    <w:rsid w:val="005D2B85"/>
    <w:rsid w:val="0065250C"/>
    <w:rsid w:val="0069144A"/>
    <w:rsid w:val="007A0C07"/>
    <w:rsid w:val="007A7524"/>
    <w:rsid w:val="007C329A"/>
    <w:rsid w:val="007E05B5"/>
    <w:rsid w:val="00820A28"/>
    <w:rsid w:val="00820A8F"/>
    <w:rsid w:val="00853235"/>
    <w:rsid w:val="008A428C"/>
    <w:rsid w:val="008C788A"/>
    <w:rsid w:val="0094522E"/>
    <w:rsid w:val="009B4C28"/>
    <w:rsid w:val="00A87E6B"/>
    <w:rsid w:val="00DF0140"/>
    <w:rsid w:val="00E05236"/>
    <w:rsid w:val="00E16ACA"/>
    <w:rsid w:val="00EC1E82"/>
    <w:rsid w:val="00F7176E"/>
    <w:rsid w:val="00F71C6D"/>
    <w:rsid w:val="00F81326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524"/>
    <w:pPr>
      <w:ind w:left="720"/>
      <w:contextualSpacing/>
    </w:pPr>
  </w:style>
  <w:style w:type="paragraph" w:customStyle="1" w:styleId="Default">
    <w:name w:val="Default"/>
    <w:rsid w:val="00093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003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60452"/>
    <w:pPr>
      <w:spacing w:after="0" w:line="240" w:lineRule="auto"/>
      <w:ind w:left="709" w:firstLine="11"/>
      <w:jc w:val="both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0452"/>
    <w:rPr>
      <w:rFonts w:ascii="Arial" w:eastAsia="Times New Roman" w:hAnsi="Arial" w:cs="Arial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524"/>
    <w:pPr>
      <w:ind w:left="720"/>
      <w:contextualSpacing/>
    </w:pPr>
  </w:style>
  <w:style w:type="paragraph" w:customStyle="1" w:styleId="Default">
    <w:name w:val="Default"/>
    <w:rsid w:val="00093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003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60452"/>
    <w:pPr>
      <w:spacing w:after="0" w:line="240" w:lineRule="auto"/>
      <w:ind w:left="709" w:firstLine="11"/>
      <w:jc w:val="both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0452"/>
    <w:rPr>
      <w:rFonts w:ascii="Arial" w:eastAsia="Times New Roman" w:hAnsi="Arial" w:cs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8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2106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Cliente</dc:creator>
  <cp:lastModifiedBy>Estimado Cliente</cp:lastModifiedBy>
  <cp:revision>26</cp:revision>
  <cp:lastPrinted>2013-03-17T13:24:00Z</cp:lastPrinted>
  <dcterms:created xsi:type="dcterms:W3CDTF">2013-03-16T21:35:00Z</dcterms:created>
  <dcterms:modified xsi:type="dcterms:W3CDTF">2013-03-17T14:27:00Z</dcterms:modified>
</cp:coreProperties>
</file>