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1C3" w:rsidRDefault="00DC30BC" w:rsidP="00CA2404">
      <w:pPr>
        <w:jc w:val="center"/>
        <w:rPr>
          <w:rFonts w:asciiTheme="majorHAnsi" w:hAnsiTheme="majorHAnsi" w:cs="Arial"/>
          <w:b/>
          <w:sz w:val="28"/>
          <w:szCs w:val="28"/>
        </w:rPr>
      </w:pPr>
      <w:r w:rsidRPr="000F17D0">
        <w:rPr>
          <w:rFonts w:asciiTheme="majorHAnsi" w:hAnsiTheme="majorHAnsi" w:cs="Arial"/>
          <w:b/>
          <w:sz w:val="28"/>
          <w:szCs w:val="28"/>
        </w:rPr>
        <w:t xml:space="preserve">REFLEXIONES  </w:t>
      </w:r>
      <w:r w:rsidR="00970024">
        <w:rPr>
          <w:rFonts w:asciiTheme="majorHAnsi" w:hAnsiTheme="majorHAnsi" w:cs="Arial"/>
          <w:b/>
          <w:sz w:val="28"/>
          <w:szCs w:val="28"/>
        </w:rPr>
        <w:t xml:space="preserve">SOBRE </w:t>
      </w:r>
      <w:r w:rsidR="00AD4B1E" w:rsidRPr="000F17D0">
        <w:rPr>
          <w:rFonts w:asciiTheme="majorHAnsi" w:hAnsiTheme="majorHAnsi" w:cs="Arial"/>
          <w:b/>
          <w:sz w:val="28"/>
          <w:szCs w:val="28"/>
        </w:rPr>
        <w:t xml:space="preserve">EL MINISTERIO DE LA PRODUCCION </w:t>
      </w:r>
      <w:r w:rsidR="007509C2">
        <w:rPr>
          <w:rFonts w:asciiTheme="majorHAnsi" w:hAnsiTheme="majorHAnsi" w:cs="Arial"/>
          <w:b/>
          <w:sz w:val="28"/>
          <w:szCs w:val="28"/>
        </w:rPr>
        <w:t xml:space="preserve"> &amp;</w:t>
      </w:r>
      <w:r w:rsidR="00AD4B1E" w:rsidRPr="000F17D0">
        <w:rPr>
          <w:rFonts w:asciiTheme="majorHAnsi" w:hAnsiTheme="majorHAnsi" w:cs="Arial"/>
          <w:b/>
          <w:sz w:val="28"/>
          <w:szCs w:val="28"/>
        </w:rPr>
        <w:t xml:space="preserve"> </w:t>
      </w:r>
      <w:r w:rsidR="007E41C3">
        <w:rPr>
          <w:rFonts w:asciiTheme="majorHAnsi" w:hAnsiTheme="majorHAnsi" w:cs="Arial"/>
          <w:b/>
          <w:sz w:val="28"/>
          <w:szCs w:val="28"/>
        </w:rPr>
        <w:t xml:space="preserve"> LA PESCA  - ACUICULTURA,</w:t>
      </w:r>
      <w:bookmarkStart w:id="0" w:name="_GoBack"/>
      <w:bookmarkEnd w:id="0"/>
    </w:p>
    <w:p w:rsidR="007E41C3" w:rsidRDefault="007E41C3" w:rsidP="00CA2404">
      <w:pPr>
        <w:jc w:val="center"/>
        <w:rPr>
          <w:rFonts w:asciiTheme="majorHAnsi" w:hAnsiTheme="majorHAnsi" w:cs="Arial"/>
          <w:b/>
          <w:sz w:val="28"/>
          <w:szCs w:val="28"/>
        </w:rPr>
      </w:pPr>
      <w:r>
        <w:rPr>
          <w:rFonts w:asciiTheme="majorHAnsi" w:hAnsiTheme="majorHAnsi" w:cs="Arial"/>
          <w:b/>
          <w:sz w:val="28"/>
          <w:szCs w:val="28"/>
        </w:rPr>
        <w:t xml:space="preserve">TRASFORMANDOSE EN </w:t>
      </w:r>
    </w:p>
    <w:p w:rsidR="007E41C3" w:rsidRDefault="00970024" w:rsidP="00CA2404">
      <w:pPr>
        <w:jc w:val="center"/>
        <w:rPr>
          <w:rFonts w:asciiTheme="majorHAnsi" w:hAnsiTheme="majorHAnsi"/>
          <w:bCs/>
          <w:sz w:val="28"/>
          <w:szCs w:val="28"/>
        </w:rPr>
      </w:pPr>
      <w:r>
        <w:rPr>
          <w:rFonts w:asciiTheme="majorHAnsi" w:hAnsiTheme="majorHAnsi" w:cs="Arial"/>
          <w:b/>
          <w:sz w:val="28"/>
          <w:szCs w:val="28"/>
        </w:rPr>
        <w:t xml:space="preserve"> </w:t>
      </w:r>
      <w:r w:rsidR="00CA2404" w:rsidRPr="000F17D0">
        <w:rPr>
          <w:rFonts w:asciiTheme="majorHAnsi" w:hAnsiTheme="majorHAnsi" w:cs="Arial"/>
          <w:b/>
          <w:sz w:val="28"/>
          <w:szCs w:val="28"/>
        </w:rPr>
        <w:t>MINISTERIO DE INDUSTRIA</w:t>
      </w:r>
      <w:r w:rsidR="00AA7E1E" w:rsidRPr="000F17D0">
        <w:rPr>
          <w:rFonts w:asciiTheme="majorHAnsi" w:hAnsiTheme="majorHAnsi" w:cs="Arial"/>
          <w:b/>
          <w:sz w:val="28"/>
          <w:szCs w:val="28"/>
        </w:rPr>
        <w:t xml:space="preserve">  y </w:t>
      </w:r>
      <w:r w:rsidR="009037AA" w:rsidRPr="000F17D0">
        <w:rPr>
          <w:rFonts w:asciiTheme="majorHAnsi" w:hAnsiTheme="majorHAnsi" w:cs="Arial"/>
          <w:b/>
          <w:sz w:val="28"/>
          <w:szCs w:val="28"/>
        </w:rPr>
        <w:t>DE MYPES</w:t>
      </w:r>
      <w:r w:rsidR="009037AA" w:rsidRPr="000F17D0">
        <w:rPr>
          <w:rFonts w:asciiTheme="majorHAnsi" w:hAnsiTheme="majorHAnsi"/>
          <w:bCs/>
          <w:sz w:val="28"/>
          <w:szCs w:val="28"/>
        </w:rPr>
        <w:t xml:space="preserve"> </w:t>
      </w:r>
      <w:r w:rsidR="009037AA" w:rsidRPr="000F17D0">
        <w:rPr>
          <w:rFonts w:asciiTheme="majorHAnsi" w:hAnsiTheme="majorHAnsi"/>
          <w:b/>
          <w:bCs/>
          <w:sz w:val="28"/>
          <w:szCs w:val="28"/>
        </w:rPr>
        <w:t>E IMPLEMENTACIÓN DE LA  TRANSFERENCIA TECNOLÓGICA</w:t>
      </w:r>
      <w:r w:rsidR="00AA7E1E" w:rsidRPr="000F17D0">
        <w:rPr>
          <w:rFonts w:asciiTheme="majorHAnsi" w:hAnsiTheme="majorHAnsi"/>
          <w:b/>
          <w:bCs/>
          <w:sz w:val="28"/>
          <w:szCs w:val="28"/>
        </w:rPr>
        <w:t>,</w:t>
      </w:r>
      <w:r w:rsidR="00AA7E1E" w:rsidRPr="000F17D0">
        <w:rPr>
          <w:rFonts w:asciiTheme="majorHAnsi" w:hAnsiTheme="majorHAnsi"/>
          <w:bCs/>
          <w:sz w:val="28"/>
          <w:szCs w:val="28"/>
        </w:rPr>
        <w:t xml:space="preserve"> </w:t>
      </w:r>
    </w:p>
    <w:p w:rsidR="00CA2404" w:rsidRPr="000F17D0" w:rsidRDefault="00CA2404" w:rsidP="00CA2404">
      <w:pPr>
        <w:jc w:val="center"/>
        <w:rPr>
          <w:rFonts w:asciiTheme="majorHAnsi" w:hAnsiTheme="majorHAnsi" w:cs="Arial"/>
          <w:b/>
          <w:sz w:val="28"/>
          <w:szCs w:val="28"/>
        </w:rPr>
      </w:pPr>
      <w:r w:rsidRPr="000F17D0">
        <w:rPr>
          <w:rFonts w:asciiTheme="majorHAnsi" w:hAnsiTheme="majorHAnsi" w:cs="Arial"/>
          <w:b/>
          <w:sz w:val="28"/>
          <w:szCs w:val="28"/>
        </w:rPr>
        <w:t xml:space="preserve"> MINISTERIO DE PESCA </w:t>
      </w:r>
      <w:r w:rsidR="00AA7E1E" w:rsidRPr="000F17D0">
        <w:rPr>
          <w:rFonts w:asciiTheme="majorHAnsi" w:hAnsiTheme="majorHAnsi" w:cs="Arial"/>
          <w:b/>
          <w:sz w:val="28"/>
          <w:szCs w:val="28"/>
        </w:rPr>
        <w:t>y</w:t>
      </w:r>
      <w:r w:rsidRPr="000F17D0">
        <w:rPr>
          <w:rFonts w:asciiTheme="majorHAnsi" w:hAnsiTheme="majorHAnsi" w:cs="Arial"/>
          <w:b/>
          <w:sz w:val="28"/>
          <w:szCs w:val="28"/>
        </w:rPr>
        <w:t xml:space="preserve"> </w:t>
      </w:r>
      <w:r w:rsidR="00AD4B1E" w:rsidRPr="000F17D0">
        <w:rPr>
          <w:rFonts w:asciiTheme="majorHAnsi" w:hAnsiTheme="majorHAnsi" w:cs="Arial"/>
          <w:b/>
          <w:sz w:val="28"/>
          <w:szCs w:val="28"/>
        </w:rPr>
        <w:t xml:space="preserve">DE </w:t>
      </w:r>
      <w:r w:rsidRPr="000F17D0">
        <w:rPr>
          <w:rFonts w:asciiTheme="majorHAnsi" w:hAnsiTheme="majorHAnsi" w:cs="Arial"/>
          <w:b/>
          <w:sz w:val="28"/>
          <w:szCs w:val="28"/>
        </w:rPr>
        <w:t>ACUICULTURA</w:t>
      </w:r>
    </w:p>
    <w:p w:rsidR="00CA2404" w:rsidRDefault="00CA2404" w:rsidP="00CA2404">
      <w:pPr>
        <w:jc w:val="center"/>
        <w:rPr>
          <w:rFonts w:asciiTheme="majorHAnsi" w:hAnsiTheme="majorHAnsi" w:cs="Arial"/>
          <w:b/>
          <w:sz w:val="22"/>
          <w:szCs w:val="22"/>
        </w:rPr>
      </w:pPr>
    </w:p>
    <w:p w:rsidR="00CA2404" w:rsidRDefault="00CA2404" w:rsidP="00CA2404">
      <w:pPr>
        <w:jc w:val="center"/>
        <w:rPr>
          <w:rFonts w:asciiTheme="majorHAnsi" w:hAnsiTheme="majorHAnsi" w:cs="Arial"/>
          <w:b/>
          <w:sz w:val="22"/>
          <w:szCs w:val="22"/>
        </w:rPr>
      </w:pPr>
    </w:p>
    <w:p w:rsidR="00CA2404" w:rsidRPr="00CA2404" w:rsidRDefault="00CA2404" w:rsidP="00CA2404">
      <w:pPr>
        <w:jc w:val="both"/>
        <w:rPr>
          <w:rFonts w:asciiTheme="majorHAnsi" w:hAnsiTheme="majorHAnsi" w:cs="Arial"/>
          <w:sz w:val="22"/>
          <w:szCs w:val="22"/>
        </w:rPr>
      </w:pPr>
      <w:r w:rsidRPr="00CA2404">
        <w:rPr>
          <w:rFonts w:asciiTheme="majorHAnsi" w:hAnsiTheme="majorHAnsi" w:cs="Arial"/>
          <w:sz w:val="22"/>
          <w:szCs w:val="22"/>
        </w:rPr>
        <w:t>El Ministerio de la Producción fue creado por Ley 27779 del 10 de julio de 2002. Tiene como finalidad diseñar, establecer, ejecutar y supervisar, en armonía con la política general y los planes de gobierno, política nacionales y sectoriales aplicables a los sectores de pesquería y de MYPE e industria, asumiendo rectoría respecto de ellas. Dicta normas y lineamientos técnicos para la adecuada ejecución y supervisión de las políticas, la gestión de los recursos del Sector, así como para el otorgamiento, reconocimiento de derechos, la sanción, fiscalización y ejecución coactiva.</w:t>
      </w:r>
    </w:p>
    <w:p w:rsidR="00CA2404" w:rsidRDefault="00CA2404" w:rsidP="00CA2404">
      <w:pPr>
        <w:ind w:right="238"/>
        <w:jc w:val="both"/>
        <w:rPr>
          <w:rFonts w:asciiTheme="majorHAnsi" w:hAnsiTheme="majorHAnsi" w:cs="Arial"/>
          <w:sz w:val="22"/>
          <w:szCs w:val="22"/>
        </w:rPr>
      </w:pPr>
    </w:p>
    <w:p w:rsidR="00CA2404" w:rsidRPr="001849EF" w:rsidRDefault="00CA2404" w:rsidP="00CA2404">
      <w:pPr>
        <w:ind w:right="238"/>
        <w:jc w:val="both"/>
        <w:rPr>
          <w:rFonts w:asciiTheme="majorHAnsi" w:hAnsiTheme="majorHAnsi" w:cs="Arial"/>
          <w:b/>
          <w:sz w:val="22"/>
          <w:szCs w:val="22"/>
        </w:rPr>
      </w:pPr>
      <w:r w:rsidRPr="001849EF">
        <w:rPr>
          <w:rFonts w:asciiTheme="majorHAnsi" w:hAnsiTheme="majorHAnsi" w:cs="Arial"/>
          <w:b/>
          <w:sz w:val="22"/>
          <w:szCs w:val="22"/>
        </w:rPr>
        <w:t xml:space="preserve">Estructura del Sector </w:t>
      </w:r>
    </w:p>
    <w:p w:rsidR="00CA2404" w:rsidRDefault="00CA2404" w:rsidP="00CA2404">
      <w:pPr>
        <w:ind w:right="238"/>
        <w:jc w:val="both"/>
        <w:rPr>
          <w:rFonts w:asciiTheme="majorHAnsi" w:hAnsiTheme="majorHAnsi" w:cs="Arial"/>
          <w:sz w:val="22"/>
          <w:szCs w:val="22"/>
        </w:rPr>
      </w:pPr>
    </w:p>
    <w:p w:rsidR="00CA2404" w:rsidRPr="00CA2404" w:rsidRDefault="00CA2404" w:rsidP="00CA2404">
      <w:pPr>
        <w:ind w:right="238"/>
        <w:jc w:val="both"/>
        <w:rPr>
          <w:rFonts w:asciiTheme="majorHAnsi" w:hAnsiTheme="majorHAnsi" w:cs="Arial"/>
          <w:sz w:val="22"/>
          <w:szCs w:val="22"/>
        </w:rPr>
      </w:pPr>
      <w:r w:rsidRPr="00CA2404">
        <w:rPr>
          <w:rFonts w:asciiTheme="majorHAnsi" w:hAnsiTheme="majorHAnsi" w:cs="Arial"/>
          <w:sz w:val="22"/>
          <w:szCs w:val="22"/>
        </w:rPr>
        <w:t>El sector Producción comprende al Ministerio de la Producción, a los Organismos Públicos Descentralizados, Proyectos y Comisiones bajo su jurisdicción. Su competencia se extiende a las personas naturales y jurídicas que realizan actividades vinculadas a los subsectores pesquería y de micro y pequeña empresa (MYPE) e industria.</w:t>
      </w:r>
    </w:p>
    <w:p w:rsidR="00A71A0F" w:rsidRPr="00214EB6" w:rsidRDefault="00A71A0F" w:rsidP="00214EB6">
      <w:pPr>
        <w:jc w:val="center"/>
        <w:rPr>
          <w:rFonts w:asciiTheme="majorHAnsi" w:hAnsiTheme="majorHAnsi" w:cs="Arial"/>
          <w:sz w:val="22"/>
          <w:szCs w:val="22"/>
        </w:rPr>
      </w:pPr>
    </w:p>
    <w:p w:rsidR="00214EB6" w:rsidRDefault="00214EB6" w:rsidP="00214EB6">
      <w:pPr>
        <w:jc w:val="both"/>
        <w:rPr>
          <w:rFonts w:asciiTheme="majorHAnsi" w:hAnsiTheme="majorHAnsi" w:cs="Arial"/>
          <w:sz w:val="22"/>
          <w:szCs w:val="22"/>
        </w:rPr>
      </w:pPr>
      <w:r w:rsidRPr="00214EB6">
        <w:rPr>
          <w:rFonts w:asciiTheme="majorHAnsi" w:hAnsiTheme="majorHAnsi" w:cs="Arial"/>
          <w:sz w:val="22"/>
          <w:szCs w:val="22"/>
        </w:rPr>
        <w:t xml:space="preserve">La creación de los CITES está contemplada en la Ley N° 27267 que promueve la creación de nuevos </w:t>
      </w:r>
      <w:proofErr w:type="spellStart"/>
      <w:r w:rsidRPr="00214EB6">
        <w:rPr>
          <w:rFonts w:asciiTheme="majorHAnsi" w:hAnsiTheme="majorHAnsi" w:cs="Arial"/>
          <w:sz w:val="22"/>
          <w:szCs w:val="22"/>
        </w:rPr>
        <w:t>CITEs</w:t>
      </w:r>
      <w:proofErr w:type="spellEnd"/>
      <w:r w:rsidRPr="00214EB6">
        <w:rPr>
          <w:rFonts w:asciiTheme="majorHAnsi" w:hAnsiTheme="majorHAnsi" w:cs="Arial"/>
          <w:sz w:val="22"/>
          <w:szCs w:val="22"/>
        </w:rPr>
        <w:t>, públicos y privados, que brinden servicios tecnológicos a las empresas con capacidad técnica acreditada.</w:t>
      </w:r>
    </w:p>
    <w:p w:rsidR="00942E6A" w:rsidRPr="00214EB6" w:rsidRDefault="00942E6A" w:rsidP="00214EB6">
      <w:pPr>
        <w:jc w:val="both"/>
        <w:rPr>
          <w:rFonts w:asciiTheme="majorHAnsi" w:hAnsiTheme="majorHAnsi" w:cs="Arial"/>
          <w:sz w:val="22"/>
          <w:szCs w:val="22"/>
        </w:rPr>
      </w:pPr>
    </w:p>
    <w:p w:rsidR="00214EB6" w:rsidRDefault="00214EB6" w:rsidP="00214EB6">
      <w:pPr>
        <w:jc w:val="both"/>
        <w:rPr>
          <w:rFonts w:asciiTheme="majorHAnsi" w:hAnsiTheme="majorHAnsi" w:cs="Arial"/>
          <w:sz w:val="22"/>
          <w:szCs w:val="22"/>
        </w:rPr>
      </w:pPr>
      <w:r w:rsidRPr="00214EB6">
        <w:rPr>
          <w:rFonts w:asciiTheme="majorHAnsi" w:hAnsiTheme="majorHAnsi" w:cs="Arial"/>
          <w:sz w:val="22"/>
          <w:szCs w:val="22"/>
        </w:rPr>
        <w:t>El Ministerio de la Producción de acuerdo a la Artículo N° 8 de la Ley 27267, en concordancia con el artículo 33° de su Reglamento aprobado mediante del Decreto Supremo N° 027-2000-ITINCI y de su Reglamento de Organización y Funciones, aprobado mediante el Decreto Supremo N° 002-2002-PRODUCE, a través del Viceministro de Industria tendrá a su cargo el rol de autoridad competente para la coordinación y concertación de las acciones de las diferentes entidades públicas y privadas en innovación y transferencia de tecnología para:</w:t>
      </w:r>
    </w:p>
    <w:p w:rsidR="00214EB6" w:rsidRPr="00214EB6" w:rsidRDefault="00214EB6" w:rsidP="00214EB6">
      <w:pPr>
        <w:jc w:val="both"/>
        <w:rPr>
          <w:rFonts w:asciiTheme="majorHAnsi" w:hAnsiTheme="majorHAnsi" w:cs="Arial"/>
          <w:sz w:val="22"/>
          <w:szCs w:val="22"/>
        </w:rPr>
      </w:pPr>
    </w:p>
    <w:p w:rsidR="00214EB6" w:rsidRDefault="00214EB6" w:rsidP="00214EB6">
      <w:pPr>
        <w:numPr>
          <w:ilvl w:val="0"/>
          <w:numId w:val="23"/>
        </w:numPr>
        <w:ind w:left="0" w:firstLine="0"/>
        <w:rPr>
          <w:rFonts w:asciiTheme="majorHAnsi" w:hAnsiTheme="majorHAnsi" w:cs="Arial"/>
          <w:sz w:val="22"/>
          <w:szCs w:val="22"/>
        </w:rPr>
      </w:pPr>
      <w:r w:rsidRPr="00214EB6">
        <w:rPr>
          <w:rFonts w:asciiTheme="majorHAnsi" w:hAnsiTheme="majorHAnsi" w:cs="Arial"/>
          <w:sz w:val="22"/>
          <w:szCs w:val="22"/>
        </w:rPr>
        <w:t>Diseñar la política de apoyo tecnológico para promover la innovación en el</w:t>
      </w:r>
    </w:p>
    <w:p w:rsidR="00214EB6" w:rsidRPr="00214EB6" w:rsidRDefault="00214EB6" w:rsidP="00214EB6">
      <w:pPr>
        <w:ind w:left="1416"/>
        <w:rPr>
          <w:rFonts w:asciiTheme="majorHAnsi" w:hAnsiTheme="majorHAnsi" w:cs="Arial"/>
          <w:sz w:val="22"/>
          <w:szCs w:val="22"/>
        </w:rPr>
      </w:pPr>
      <w:r w:rsidRPr="00214EB6">
        <w:rPr>
          <w:rFonts w:asciiTheme="majorHAnsi" w:hAnsiTheme="majorHAnsi" w:cs="Arial"/>
          <w:sz w:val="22"/>
          <w:szCs w:val="22"/>
        </w:rPr>
        <w:t xml:space="preserve"> </w:t>
      </w:r>
      <w:proofErr w:type="gramStart"/>
      <w:r w:rsidRPr="00214EB6">
        <w:rPr>
          <w:rFonts w:asciiTheme="majorHAnsi" w:hAnsiTheme="majorHAnsi" w:cs="Arial"/>
          <w:sz w:val="22"/>
          <w:szCs w:val="22"/>
        </w:rPr>
        <w:t>sector</w:t>
      </w:r>
      <w:proofErr w:type="gramEnd"/>
      <w:r w:rsidRPr="00214EB6">
        <w:rPr>
          <w:rFonts w:asciiTheme="majorHAnsi" w:hAnsiTheme="majorHAnsi" w:cs="Arial"/>
          <w:sz w:val="22"/>
          <w:szCs w:val="22"/>
        </w:rPr>
        <w:t xml:space="preserve"> productivo.</w:t>
      </w:r>
    </w:p>
    <w:p w:rsidR="00214EB6" w:rsidRPr="00214EB6" w:rsidRDefault="00214EB6" w:rsidP="00214EB6">
      <w:pPr>
        <w:numPr>
          <w:ilvl w:val="0"/>
          <w:numId w:val="23"/>
        </w:numPr>
        <w:ind w:left="0" w:firstLine="0"/>
        <w:rPr>
          <w:rFonts w:asciiTheme="majorHAnsi" w:hAnsiTheme="majorHAnsi" w:cs="Arial"/>
          <w:sz w:val="22"/>
          <w:szCs w:val="22"/>
        </w:rPr>
      </w:pPr>
      <w:r w:rsidRPr="00214EB6">
        <w:rPr>
          <w:rFonts w:asciiTheme="majorHAnsi" w:hAnsiTheme="majorHAnsi" w:cs="Arial"/>
          <w:sz w:val="22"/>
          <w:szCs w:val="22"/>
        </w:rPr>
        <w:t xml:space="preserve">Proponer y opinar respecto de la creación de </w:t>
      </w:r>
      <w:proofErr w:type="spellStart"/>
      <w:r w:rsidRPr="00214EB6">
        <w:rPr>
          <w:rFonts w:asciiTheme="majorHAnsi" w:hAnsiTheme="majorHAnsi" w:cs="Arial"/>
          <w:sz w:val="22"/>
          <w:szCs w:val="22"/>
        </w:rPr>
        <w:t>CITEs</w:t>
      </w:r>
      <w:proofErr w:type="spellEnd"/>
      <w:r w:rsidRPr="00214EB6">
        <w:rPr>
          <w:rFonts w:asciiTheme="majorHAnsi" w:hAnsiTheme="majorHAnsi" w:cs="Arial"/>
          <w:sz w:val="22"/>
          <w:szCs w:val="22"/>
        </w:rPr>
        <w:t xml:space="preserve"> de derecho público.</w:t>
      </w:r>
    </w:p>
    <w:p w:rsidR="00214EB6" w:rsidRPr="00214EB6" w:rsidRDefault="00214EB6" w:rsidP="00214EB6">
      <w:pPr>
        <w:numPr>
          <w:ilvl w:val="0"/>
          <w:numId w:val="23"/>
        </w:numPr>
        <w:ind w:left="0" w:firstLine="0"/>
        <w:rPr>
          <w:rFonts w:asciiTheme="majorHAnsi" w:hAnsiTheme="majorHAnsi" w:cs="Arial"/>
          <w:sz w:val="22"/>
          <w:szCs w:val="22"/>
        </w:rPr>
      </w:pPr>
      <w:r w:rsidRPr="00214EB6">
        <w:rPr>
          <w:rFonts w:asciiTheme="majorHAnsi" w:hAnsiTheme="majorHAnsi" w:cs="Arial"/>
          <w:sz w:val="22"/>
          <w:szCs w:val="22"/>
        </w:rPr>
        <w:t xml:space="preserve">Registrar y supervisar el funcionamiento de </w:t>
      </w:r>
      <w:proofErr w:type="spellStart"/>
      <w:r w:rsidRPr="00214EB6">
        <w:rPr>
          <w:rFonts w:asciiTheme="majorHAnsi" w:hAnsiTheme="majorHAnsi" w:cs="Arial"/>
          <w:sz w:val="22"/>
          <w:szCs w:val="22"/>
        </w:rPr>
        <w:t>CITEs</w:t>
      </w:r>
      <w:proofErr w:type="spellEnd"/>
      <w:r w:rsidRPr="00214EB6">
        <w:rPr>
          <w:rFonts w:asciiTheme="majorHAnsi" w:hAnsiTheme="majorHAnsi" w:cs="Arial"/>
          <w:sz w:val="22"/>
          <w:szCs w:val="22"/>
        </w:rPr>
        <w:t>.</w:t>
      </w:r>
    </w:p>
    <w:p w:rsidR="00214EB6" w:rsidRDefault="00214EB6" w:rsidP="00214EB6">
      <w:pPr>
        <w:numPr>
          <w:ilvl w:val="0"/>
          <w:numId w:val="23"/>
        </w:numPr>
        <w:ind w:left="0" w:firstLine="0"/>
        <w:rPr>
          <w:rFonts w:asciiTheme="majorHAnsi" w:hAnsiTheme="majorHAnsi" w:cs="Arial"/>
          <w:sz w:val="22"/>
          <w:szCs w:val="22"/>
        </w:rPr>
      </w:pPr>
      <w:r w:rsidRPr="00214EB6">
        <w:rPr>
          <w:rFonts w:asciiTheme="majorHAnsi" w:hAnsiTheme="majorHAnsi" w:cs="Arial"/>
          <w:sz w:val="22"/>
          <w:szCs w:val="22"/>
        </w:rPr>
        <w:t>Promover la consolidación de una Red de Centros de Innovación</w:t>
      </w:r>
    </w:p>
    <w:p w:rsidR="00214EB6" w:rsidRPr="00214EB6" w:rsidRDefault="00214EB6" w:rsidP="00214EB6">
      <w:pPr>
        <w:ind w:left="708" w:firstLine="708"/>
        <w:rPr>
          <w:rFonts w:asciiTheme="majorHAnsi" w:hAnsiTheme="majorHAnsi" w:cs="Arial"/>
          <w:sz w:val="22"/>
          <w:szCs w:val="22"/>
        </w:rPr>
      </w:pPr>
      <w:r w:rsidRPr="00214EB6">
        <w:rPr>
          <w:rFonts w:asciiTheme="majorHAnsi" w:hAnsiTheme="majorHAnsi" w:cs="Arial"/>
          <w:sz w:val="22"/>
          <w:szCs w:val="22"/>
        </w:rPr>
        <w:t xml:space="preserve"> Tecnológica.</w:t>
      </w:r>
    </w:p>
    <w:p w:rsidR="00214EB6" w:rsidRPr="00214EB6" w:rsidRDefault="00214EB6" w:rsidP="00214EB6">
      <w:pPr>
        <w:numPr>
          <w:ilvl w:val="0"/>
          <w:numId w:val="23"/>
        </w:numPr>
        <w:ind w:left="0" w:firstLine="0"/>
        <w:rPr>
          <w:rFonts w:asciiTheme="majorHAnsi" w:hAnsiTheme="majorHAnsi" w:cs="Arial"/>
          <w:sz w:val="22"/>
          <w:szCs w:val="22"/>
        </w:rPr>
      </w:pPr>
      <w:r w:rsidRPr="00214EB6">
        <w:rPr>
          <w:rFonts w:asciiTheme="majorHAnsi" w:hAnsiTheme="majorHAnsi" w:cs="Arial"/>
          <w:sz w:val="22"/>
          <w:szCs w:val="22"/>
        </w:rPr>
        <w:t>Las demás que se establezcan</w:t>
      </w:r>
    </w:p>
    <w:p w:rsidR="00214EB6" w:rsidRPr="00883E07" w:rsidRDefault="00214EB6" w:rsidP="00645C07">
      <w:pPr>
        <w:jc w:val="center"/>
        <w:rPr>
          <w:rFonts w:asciiTheme="majorHAnsi" w:hAnsiTheme="majorHAnsi" w:cs="Arial"/>
          <w:b/>
          <w:sz w:val="22"/>
          <w:szCs w:val="22"/>
        </w:rPr>
      </w:pPr>
    </w:p>
    <w:p w:rsidR="00645C07" w:rsidRDefault="001849EF" w:rsidP="003543EF">
      <w:pPr>
        <w:jc w:val="both"/>
        <w:rPr>
          <w:rFonts w:asciiTheme="majorHAnsi" w:hAnsiTheme="majorHAnsi"/>
          <w:bCs/>
          <w:sz w:val="22"/>
          <w:szCs w:val="22"/>
        </w:rPr>
      </w:pPr>
      <w:r w:rsidRPr="001849EF">
        <w:rPr>
          <w:rFonts w:asciiTheme="majorHAnsi" w:hAnsiTheme="majorHAnsi"/>
          <w:bCs/>
          <w:sz w:val="22"/>
          <w:szCs w:val="22"/>
        </w:rPr>
        <w:t xml:space="preserve">Mediante Resolución Ministerial N° 343-2012-PRODUCE se aprueba el </w:t>
      </w:r>
      <w:r>
        <w:rPr>
          <w:rFonts w:asciiTheme="majorHAnsi" w:hAnsiTheme="majorHAnsi"/>
          <w:bCs/>
          <w:sz w:val="22"/>
          <w:szCs w:val="22"/>
        </w:rPr>
        <w:t xml:space="preserve">Reglamento de Organización y funciones de ROF </w:t>
      </w:r>
      <w:r w:rsidRPr="001849EF">
        <w:rPr>
          <w:rFonts w:asciiTheme="majorHAnsi" w:hAnsiTheme="majorHAnsi"/>
          <w:bCs/>
          <w:sz w:val="22"/>
          <w:szCs w:val="22"/>
        </w:rPr>
        <w:t>del Ministerio de la Producción</w:t>
      </w:r>
      <w:r>
        <w:rPr>
          <w:rFonts w:asciiTheme="majorHAnsi" w:hAnsiTheme="majorHAnsi"/>
          <w:bCs/>
          <w:sz w:val="22"/>
          <w:szCs w:val="22"/>
        </w:rPr>
        <w:t xml:space="preserve">, que con disculpa </w:t>
      </w:r>
      <w:r w:rsidR="00080117">
        <w:rPr>
          <w:rFonts w:asciiTheme="majorHAnsi" w:hAnsiTheme="majorHAnsi"/>
          <w:bCs/>
          <w:sz w:val="22"/>
          <w:szCs w:val="22"/>
        </w:rPr>
        <w:t>de</w:t>
      </w:r>
      <w:r>
        <w:rPr>
          <w:rFonts w:asciiTheme="majorHAnsi" w:hAnsiTheme="majorHAnsi"/>
          <w:bCs/>
          <w:sz w:val="22"/>
          <w:szCs w:val="22"/>
        </w:rPr>
        <w:t xml:space="preserve"> los profesionales que la formularon resulta inoperativa y nada funcional</w:t>
      </w:r>
      <w:r w:rsidR="007E41C3">
        <w:rPr>
          <w:rFonts w:asciiTheme="majorHAnsi" w:hAnsiTheme="majorHAnsi"/>
          <w:bCs/>
          <w:sz w:val="22"/>
          <w:szCs w:val="22"/>
        </w:rPr>
        <w:t>,</w:t>
      </w:r>
      <w:r>
        <w:rPr>
          <w:rFonts w:asciiTheme="majorHAnsi" w:hAnsiTheme="majorHAnsi"/>
          <w:bCs/>
          <w:sz w:val="22"/>
          <w:szCs w:val="22"/>
        </w:rPr>
        <w:t xml:space="preserve"> donde se duplica funciones y entorpece la gestión,</w:t>
      </w:r>
      <w:r w:rsidR="00B55B75">
        <w:rPr>
          <w:rFonts w:asciiTheme="majorHAnsi" w:hAnsiTheme="majorHAnsi"/>
          <w:bCs/>
          <w:sz w:val="22"/>
          <w:szCs w:val="22"/>
        </w:rPr>
        <w:t xml:space="preserve"> y fomenta la corrección</w:t>
      </w:r>
      <w:r w:rsidR="007E41C3">
        <w:rPr>
          <w:rFonts w:asciiTheme="majorHAnsi" w:hAnsiTheme="majorHAnsi"/>
          <w:bCs/>
          <w:sz w:val="22"/>
          <w:szCs w:val="22"/>
        </w:rPr>
        <w:t xml:space="preserve"> institucional</w:t>
      </w:r>
      <w:r w:rsidR="00B55B75">
        <w:rPr>
          <w:rFonts w:asciiTheme="majorHAnsi" w:hAnsiTheme="majorHAnsi"/>
          <w:bCs/>
          <w:sz w:val="22"/>
          <w:szCs w:val="22"/>
        </w:rPr>
        <w:t>,</w:t>
      </w:r>
      <w:r>
        <w:rPr>
          <w:rFonts w:asciiTheme="majorHAnsi" w:hAnsiTheme="majorHAnsi"/>
          <w:bCs/>
          <w:sz w:val="22"/>
          <w:szCs w:val="22"/>
        </w:rPr>
        <w:t xml:space="preserve"> causando un malestar innecesario a usuario de  Produce</w:t>
      </w:r>
      <w:r w:rsidR="007E41C3">
        <w:rPr>
          <w:rFonts w:asciiTheme="majorHAnsi" w:hAnsiTheme="majorHAnsi"/>
          <w:bCs/>
          <w:sz w:val="22"/>
          <w:szCs w:val="22"/>
        </w:rPr>
        <w:t>,</w:t>
      </w:r>
      <w:r>
        <w:rPr>
          <w:rFonts w:asciiTheme="majorHAnsi" w:hAnsiTheme="majorHAnsi"/>
          <w:bCs/>
          <w:sz w:val="22"/>
          <w:szCs w:val="22"/>
        </w:rPr>
        <w:t xml:space="preserve"> por lo que sería recomendable su revisión completa y adaptarla a la realidad del Perú</w:t>
      </w:r>
      <w:r w:rsidR="003543EF">
        <w:rPr>
          <w:rFonts w:asciiTheme="majorHAnsi" w:hAnsiTheme="majorHAnsi"/>
          <w:bCs/>
          <w:sz w:val="22"/>
          <w:szCs w:val="22"/>
        </w:rPr>
        <w:t>, con participación de los sectores y colegios profesionales</w:t>
      </w:r>
      <w:r>
        <w:rPr>
          <w:rFonts w:asciiTheme="majorHAnsi" w:hAnsiTheme="majorHAnsi"/>
          <w:bCs/>
          <w:sz w:val="22"/>
          <w:szCs w:val="22"/>
        </w:rPr>
        <w:t>.</w:t>
      </w:r>
      <w:r w:rsidR="00D14009">
        <w:rPr>
          <w:rFonts w:asciiTheme="majorHAnsi" w:hAnsiTheme="majorHAnsi"/>
          <w:bCs/>
          <w:sz w:val="22"/>
          <w:szCs w:val="22"/>
        </w:rPr>
        <w:t xml:space="preserve"> (La reorganización del Ministerio de la Producción ha sido un fracaso organizacionalmente y administrativamente, hoy día los documentos que solicitan los recurrentes del sector pesca demoran el triple en dar respuesta que antes de la famosa </w:t>
      </w:r>
      <w:r w:rsidR="00D14009">
        <w:rPr>
          <w:rFonts w:asciiTheme="majorHAnsi" w:hAnsiTheme="majorHAnsi"/>
          <w:bCs/>
          <w:sz w:val="22"/>
          <w:szCs w:val="22"/>
        </w:rPr>
        <w:lastRenderedPageBreak/>
        <w:t xml:space="preserve">restructuración y se mas fácil la presencia de la corrección, por lo frondoso de la burocracia creada.) </w:t>
      </w:r>
    </w:p>
    <w:p w:rsidR="001849EF" w:rsidRPr="001849EF" w:rsidRDefault="001849EF" w:rsidP="00645C07">
      <w:pPr>
        <w:rPr>
          <w:rFonts w:asciiTheme="majorHAnsi" w:hAnsiTheme="majorHAnsi"/>
          <w:bCs/>
          <w:sz w:val="22"/>
          <w:szCs w:val="22"/>
        </w:rPr>
      </w:pPr>
    </w:p>
    <w:p w:rsidR="00305B43" w:rsidRDefault="00305B43" w:rsidP="00305B43">
      <w:pPr>
        <w:jc w:val="both"/>
        <w:rPr>
          <w:rFonts w:asciiTheme="majorHAnsi" w:hAnsiTheme="majorHAnsi"/>
          <w:bCs/>
          <w:sz w:val="22"/>
          <w:szCs w:val="22"/>
        </w:rPr>
      </w:pPr>
      <w:r>
        <w:rPr>
          <w:rFonts w:asciiTheme="majorHAnsi" w:hAnsiTheme="majorHAnsi" w:cs="Arial"/>
          <w:sz w:val="22"/>
          <w:szCs w:val="22"/>
        </w:rPr>
        <w:t xml:space="preserve">Actualmente se viene </w:t>
      </w:r>
      <w:r w:rsidRPr="00305B43">
        <w:rPr>
          <w:rFonts w:asciiTheme="majorHAnsi" w:hAnsiTheme="majorHAnsi"/>
          <w:bCs/>
          <w:sz w:val="22"/>
          <w:szCs w:val="22"/>
        </w:rPr>
        <w:t>dando bastantes funciones al viceministerio de Industria y PYME</w:t>
      </w:r>
      <w:r>
        <w:rPr>
          <w:rFonts w:asciiTheme="majorHAnsi" w:hAnsiTheme="majorHAnsi"/>
          <w:bCs/>
          <w:sz w:val="22"/>
          <w:szCs w:val="22"/>
        </w:rPr>
        <w:t xml:space="preserve">, lo que ha ocasionado que el viceministerio </w:t>
      </w:r>
      <w:r w:rsidR="00DB5FDE">
        <w:rPr>
          <w:rFonts w:asciiTheme="majorHAnsi" w:hAnsiTheme="majorHAnsi"/>
          <w:bCs/>
          <w:sz w:val="22"/>
          <w:szCs w:val="22"/>
        </w:rPr>
        <w:t xml:space="preserve">de Pesquería </w:t>
      </w:r>
      <w:r>
        <w:rPr>
          <w:rFonts w:asciiTheme="majorHAnsi" w:hAnsiTheme="majorHAnsi"/>
          <w:bCs/>
          <w:sz w:val="22"/>
          <w:szCs w:val="22"/>
        </w:rPr>
        <w:t>pase a un segundo plano</w:t>
      </w:r>
      <w:r w:rsidR="00DB5FDE">
        <w:rPr>
          <w:rFonts w:asciiTheme="majorHAnsi" w:hAnsiTheme="majorHAnsi"/>
          <w:bCs/>
          <w:sz w:val="22"/>
          <w:szCs w:val="22"/>
        </w:rPr>
        <w:t>,</w:t>
      </w:r>
      <w:r>
        <w:rPr>
          <w:rFonts w:asciiTheme="majorHAnsi" w:hAnsiTheme="majorHAnsi"/>
          <w:bCs/>
          <w:sz w:val="22"/>
          <w:szCs w:val="22"/>
        </w:rPr>
        <w:t xml:space="preserve"> en la jerarquía de </w:t>
      </w:r>
      <w:r w:rsidR="00AA7E1E">
        <w:rPr>
          <w:rFonts w:asciiTheme="majorHAnsi" w:hAnsiTheme="majorHAnsi"/>
          <w:bCs/>
          <w:sz w:val="22"/>
          <w:szCs w:val="22"/>
        </w:rPr>
        <w:t>decisiones</w:t>
      </w:r>
      <w:r w:rsidR="00970024">
        <w:rPr>
          <w:rFonts w:asciiTheme="majorHAnsi" w:hAnsiTheme="majorHAnsi"/>
          <w:bCs/>
          <w:sz w:val="22"/>
          <w:szCs w:val="22"/>
        </w:rPr>
        <w:t>,</w:t>
      </w:r>
      <w:r>
        <w:rPr>
          <w:rFonts w:asciiTheme="majorHAnsi" w:hAnsiTheme="majorHAnsi"/>
          <w:bCs/>
          <w:sz w:val="22"/>
          <w:szCs w:val="22"/>
        </w:rPr>
        <w:t xml:space="preserve"> perjudicando la visión del </w:t>
      </w:r>
      <w:r w:rsidR="00AA7E1E">
        <w:rPr>
          <w:rFonts w:asciiTheme="majorHAnsi" w:hAnsiTheme="majorHAnsi"/>
          <w:bCs/>
          <w:sz w:val="22"/>
          <w:szCs w:val="22"/>
        </w:rPr>
        <w:t>S</w:t>
      </w:r>
      <w:r>
        <w:rPr>
          <w:rFonts w:asciiTheme="majorHAnsi" w:hAnsiTheme="majorHAnsi"/>
          <w:bCs/>
          <w:sz w:val="22"/>
          <w:szCs w:val="22"/>
        </w:rPr>
        <w:t>ector Pesca</w:t>
      </w:r>
      <w:r w:rsidR="00AD4B1E">
        <w:rPr>
          <w:rFonts w:asciiTheme="majorHAnsi" w:hAnsiTheme="majorHAnsi"/>
          <w:bCs/>
          <w:sz w:val="22"/>
          <w:szCs w:val="22"/>
        </w:rPr>
        <w:t xml:space="preserve">; el </w:t>
      </w:r>
      <w:r>
        <w:rPr>
          <w:rFonts w:asciiTheme="majorHAnsi" w:hAnsiTheme="majorHAnsi"/>
          <w:bCs/>
          <w:sz w:val="22"/>
          <w:szCs w:val="22"/>
        </w:rPr>
        <w:t xml:space="preserve">crecimiento de responsabilidades otorgadas al </w:t>
      </w:r>
      <w:r w:rsidRPr="004B33E6">
        <w:rPr>
          <w:rFonts w:asciiTheme="majorHAnsi" w:hAnsiTheme="majorHAnsi"/>
          <w:b/>
          <w:bCs/>
          <w:sz w:val="22"/>
          <w:szCs w:val="22"/>
        </w:rPr>
        <w:t>sector industria</w:t>
      </w:r>
      <w:r>
        <w:rPr>
          <w:rFonts w:asciiTheme="majorHAnsi" w:hAnsiTheme="majorHAnsi"/>
          <w:bCs/>
          <w:sz w:val="22"/>
          <w:szCs w:val="22"/>
        </w:rPr>
        <w:t xml:space="preserve"> resulta insostenible</w:t>
      </w:r>
      <w:r w:rsidR="00AD4B1E">
        <w:rPr>
          <w:rFonts w:asciiTheme="majorHAnsi" w:hAnsiTheme="majorHAnsi"/>
          <w:bCs/>
          <w:sz w:val="22"/>
          <w:szCs w:val="22"/>
        </w:rPr>
        <w:t xml:space="preserve"> y poco práctico </w:t>
      </w:r>
      <w:r w:rsidR="00970024">
        <w:rPr>
          <w:rFonts w:asciiTheme="majorHAnsi" w:hAnsiTheme="majorHAnsi"/>
          <w:bCs/>
          <w:sz w:val="22"/>
          <w:szCs w:val="22"/>
        </w:rPr>
        <w:t xml:space="preserve"> para que sea </w:t>
      </w:r>
      <w:r w:rsidR="00AA7E1E">
        <w:rPr>
          <w:rFonts w:asciiTheme="majorHAnsi" w:hAnsiTheme="majorHAnsi"/>
          <w:bCs/>
          <w:sz w:val="22"/>
          <w:szCs w:val="22"/>
        </w:rPr>
        <w:t xml:space="preserve">ejecutado </w:t>
      </w:r>
      <w:r>
        <w:rPr>
          <w:rFonts w:asciiTheme="majorHAnsi" w:hAnsiTheme="majorHAnsi"/>
          <w:bCs/>
          <w:sz w:val="22"/>
          <w:szCs w:val="22"/>
        </w:rPr>
        <w:t>a través de un solo viceministerio y</w:t>
      </w:r>
      <w:r w:rsidR="004B33E6">
        <w:rPr>
          <w:rFonts w:asciiTheme="majorHAnsi" w:hAnsiTheme="majorHAnsi"/>
          <w:bCs/>
          <w:sz w:val="22"/>
          <w:szCs w:val="22"/>
        </w:rPr>
        <w:t xml:space="preserve"> hoy que las </w:t>
      </w:r>
      <w:r w:rsidR="00AA7E1E">
        <w:rPr>
          <w:rFonts w:asciiTheme="majorHAnsi" w:hAnsiTheme="majorHAnsi"/>
          <w:bCs/>
          <w:sz w:val="22"/>
          <w:szCs w:val="22"/>
        </w:rPr>
        <w:t>circunstancias</w:t>
      </w:r>
      <w:r w:rsidR="004B33E6">
        <w:rPr>
          <w:rFonts w:asciiTheme="majorHAnsi" w:hAnsiTheme="majorHAnsi"/>
          <w:bCs/>
          <w:sz w:val="22"/>
          <w:szCs w:val="22"/>
        </w:rPr>
        <w:t xml:space="preserve"> obligan a fortalecer y crear riqueza y empleo a través de la industria</w:t>
      </w:r>
      <w:r w:rsidR="00AA7E1E">
        <w:rPr>
          <w:rFonts w:asciiTheme="majorHAnsi" w:hAnsiTheme="majorHAnsi"/>
          <w:bCs/>
          <w:sz w:val="22"/>
          <w:szCs w:val="22"/>
        </w:rPr>
        <w:t xml:space="preserve">, </w:t>
      </w:r>
      <w:r w:rsidR="004B33E6">
        <w:rPr>
          <w:rFonts w:asciiTheme="majorHAnsi" w:hAnsiTheme="majorHAnsi"/>
          <w:bCs/>
          <w:sz w:val="22"/>
          <w:szCs w:val="22"/>
        </w:rPr>
        <w:t xml:space="preserve"> </w:t>
      </w:r>
      <w:r w:rsidR="00AA7E1E">
        <w:rPr>
          <w:rFonts w:asciiTheme="majorHAnsi" w:hAnsiTheme="majorHAnsi"/>
          <w:bCs/>
          <w:sz w:val="22"/>
          <w:szCs w:val="22"/>
        </w:rPr>
        <w:t xml:space="preserve">hay que </w:t>
      </w:r>
      <w:r w:rsidR="004B33E6">
        <w:rPr>
          <w:rFonts w:asciiTheme="majorHAnsi" w:hAnsiTheme="majorHAnsi"/>
          <w:bCs/>
          <w:sz w:val="22"/>
          <w:szCs w:val="22"/>
        </w:rPr>
        <w:t>dar un paso adelante, audaz con miras al futuro</w:t>
      </w:r>
      <w:r w:rsidR="00AA7E1E">
        <w:rPr>
          <w:rFonts w:asciiTheme="majorHAnsi" w:hAnsiTheme="majorHAnsi"/>
          <w:bCs/>
          <w:sz w:val="22"/>
          <w:szCs w:val="22"/>
        </w:rPr>
        <w:t>,</w:t>
      </w:r>
      <w:r w:rsidR="004B33E6">
        <w:rPr>
          <w:rFonts w:asciiTheme="majorHAnsi" w:hAnsiTheme="majorHAnsi"/>
          <w:bCs/>
          <w:sz w:val="22"/>
          <w:szCs w:val="22"/>
        </w:rPr>
        <w:t xml:space="preserve"> por lo que </w:t>
      </w:r>
      <w:r>
        <w:rPr>
          <w:rFonts w:asciiTheme="majorHAnsi" w:hAnsiTheme="majorHAnsi"/>
          <w:bCs/>
          <w:sz w:val="22"/>
          <w:szCs w:val="22"/>
        </w:rPr>
        <w:t xml:space="preserve">se requiere de </w:t>
      </w:r>
      <w:r w:rsidRPr="00DB5FDE">
        <w:rPr>
          <w:rFonts w:asciiTheme="majorHAnsi" w:hAnsiTheme="majorHAnsi"/>
          <w:bCs/>
          <w:sz w:val="22"/>
          <w:szCs w:val="22"/>
          <w:highlight w:val="yellow"/>
        </w:rPr>
        <w:t xml:space="preserve">dos </w:t>
      </w:r>
      <w:r w:rsidR="009037AA">
        <w:rPr>
          <w:rFonts w:asciiTheme="majorHAnsi" w:hAnsiTheme="majorHAnsi"/>
          <w:bCs/>
          <w:sz w:val="22"/>
          <w:szCs w:val="22"/>
          <w:highlight w:val="yellow"/>
        </w:rPr>
        <w:t xml:space="preserve">(2) </w:t>
      </w:r>
      <w:r w:rsidRPr="00DB5FDE">
        <w:rPr>
          <w:rFonts w:asciiTheme="majorHAnsi" w:hAnsiTheme="majorHAnsi"/>
          <w:bCs/>
          <w:sz w:val="22"/>
          <w:szCs w:val="22"/>
          <w:highlight w:val="yellow"/>
        </w:rPr>
        <w:t xml:space="preserve">viceministerios uno de industria y otro de </w:t>
      </w:r>
      <w:proofErr w:type="spellStart"/>
      <w:r w:rsidRPr="00DB5FDE">
        <w:rPr>
          <w:rFonts w:asciiTheme="majorHAnsi" w:hAnsiTheme="majorHAnsi"/>
          <w:bCs/>
          <w:sz w:val="22"/>
          <w:szCs w:val="22"/>
          <w:highlight w:val="yellow"/>
        </w:rPr>
        <w:t>Mypes</w:t>
      </w:r>
      <w:proofErr w:type="spellEnd"/>
      <w:r w:rsidR="009037AA">
        <w:rPr>
          <w:rFonts w:asciiTheme="majorHAnsi" w:hAnsiTheme="majorHAnsi"/>
          <w:bCs/>
          <w:sz w:val="22"/>
          <w:szCs w:val="22"/>
          <w:highlight w:val="yellow"/>
        </w:rPr>
        <w:t xml:space="preserve"> e implementación de la </w:t>
      </w:r>
      <w:r w:rsidRPr="00DB5FDE">
        <w:rPr>
          <w:rFonts w:asciiTheme="majorHAnsi" w:hAnsiTheme="majorHAnsi"/>
          <w:bCs/>
          <w:sz w:val="22"/>
          <w:szCs w:val="22"/>
          <w:highlight w:val="yellow"/>
        </w:rPr>
        <w:t xml:space="preserve"> </w:t>
      </w:r>
      <w:r w:rsidR="00AA7E1E">
        <w:rPr>
          <w:rFonts w:asciiTheme="majorHAnsi" w:hAnsiTheme="majorHAnsi"/>
          <w:bCs/>
          <w:sz w:val="22"/>
          <w:szCs w:val="22"/>
          <w:highlight w:val="yellow"/>
        </w:rPr>
        <w:t>con</w:t>
      </w:r>
      <w:r w:rsidRPr="00DB5FDE">
        <w:rPr>
          <w:rFonts w:asciiTheme="majorHAnsi" w:hAnsiTheme="majorHAnsi"/>
          <w:bCs/>
          <w:sz w:val="22"/>
          <w:szCs w:val="22"/>
          <w:highlight w:val="yellow"/>
        </w:rPr>
        <w:t xml:space="preserve"> trasferencias tecnológica</w:t>
      </w:r>
      <w:r>
        <w:rPr>
          <w:rFonts w:asciiTheme="majorHAnsi" w:hAnsiTheme="majorHAnsi"/>
          <w:bCs/>
          <w:sz w:val="22"/>
          <w:szCs w:val="22"/>
        </w:rPr>
        <w:t xml:space="preserve">, a fin de que se </w:t>
      </w:r>
      <w:r w:rsidR="00DB5FDE">
        <w:rPr>
          <w:rFonts w:asciiTheme="majorHAnsi" w:hAnsiTheme="majorHAnsi"/>
          <w:bCs/>
          <w:sz w:val="22"/>
          <w:szCs w:val="22"/>
        </w:rPr>
        <w:t>dé</w:t>
      </w:r>
      <w:r>
        <w:rPr>
          <w:rFonts w:asciiTheme="majorHAnsi" w:hAnsiTheme="majorHAnsi"/>
          <w:bCs/>
          <w:sz w:val="22"/>
          <w:szCs w:val="22"/>
        </w:rPr>
        <w:t xml:space="preserve"> el impulso que se requiere para el crecimiento de la manufactura e industria en el país</w:t>
      </w:r>
      <w:r w:rsidR="003543EF">
        <w:rPr>
          <w:rFonts w:asciiTheme="majorHAnsi" w:hAnsiTheme="majorHAnsi"/>
          <w:bCs/>
          <w:sz w:val="22"/>
          <w:szCs w:val="22"/>
        </w:rPr>
        <w:t xml:space="preserve">, en tal sentido </w:t>
      </w:r>
      <w:r>
        <w:rPr>
          <w:rFonts w:asciiTheme="majorHAnsi" w:hAnsiTheme="majorHAnsi"/>
          <w:bCs/>
          <w:sz w:val="22"/>
          <w:szCs w:val="22"/>
        </w:rPr>
        <w:t xml:space="preserve"> se necesita un </w:t>
      </w:r>
      <w:r w:rsidRPr="00DB5FDE">
        <w:rPr>
          <w:rFonts w:asciiTheme="majorHAnsi" w:hAnsiTheme="majorHAnsi"/>
          <w:b/>
          <w:bCs/>
          <w:sz w:val="22"/>
          <w:szCs w:val="22"/>
        </w:rPr>
        <w:t>ministerio</w:t>
      </w:r>
      <w:r w:rsidR="007E41C3">
        <w:rPr>
          <w:rFonts w:asciiTheme="majorHAnsi" w:hAnsiTheme="majorHAnsi"/>
          <w:b/>
          <w:bCs/>
          <w:sz w:val="22"/>
          <w:szCs w:val="22"/>
        </w:rPr>
        <w:t xml:space="preserve"> que se dedique </w:t>
      </w:r>
      <w:r w:rsidRPr="00DB5FDE">
        <w:rPr>
          <w:rFonts w:asciiTheme="majorHAnsi" w:hAnsiTheme="majorHAnsi"/>
          <w:b/>
          <w:bCs/>
          <w:sz w:val="22"/>
          <w:szCs w:val="22"/>
        </w:rPr>
        <w:t xml:space="preserve"> a tiempo completo</w:t>
      </w:r>
      <w:r w:rsidR="003543EF">
        <w:rPr>
          <w:rFonts w:asciiTheme="majorHAnsi" w:hAnsiTheme="majorHAnsi"/>
          <w:b/>
          <w:bCs/>
          <w:sz w:val="22"/>
          <w:szCs w:val="22"/>
        </w:rPr>
        <w:t xml:space="preserve"> </w:t>
      </w:r>
      <w:r w:rsidR="00AA7E1E">
        <w:rPr>
          <w:rFonts w:asciiTheme="majorHAnsi" w:hAnsiTheme="majorHAnsi"/>
          <w:b/>
          <w:bCs/>
          <w:sz w:val="22"/>
          <w:szCs w:val="22"/>
        </w:rPr>
        <w:t xml:space="preserve">con visión empresarial e industrial </w:t>
      </w:r>
      <w:r w:rsidR="003543EF">
        <w:rPr>
          <w:rFonts w:asciiTheme="majorHAnsi" w:hAnsiTheme="majorHAnsi"/>
          <w:b/>
          <w:bCs/>
          <w:sz w:val="22"/>
          <w:szCs w:val="22"/>
        </w:rPr>
        <w:t xml:space="preserve">que haga suyo los problemas que pasa el </w:t>
      </w:r>
      <w:r w:rsidR="00AA7E1E">
        <w:rPr>
          <w:rFonts w:asciiTheme="majorHAnsi" w:hAnsiTheme="majorHAnsi"/>
          <w:b/>
          <w:bCs/>
          <w:sz w:val="22"/>
          <w:szCs w:val="22"/>
        </w:rPr>
        <w:t>S</w:t>
      </w:r>
      <w:r w:rsidR="003543EF">
        <w:rPr>
          <w:rFonts w:asciiTheme="majorHAnsi" w:hAnsiTheme="majorHAnsi"/>
          <w:b/>
          <w:bCs/>
          <w:sz w:val="22"/>
          <w:szCs w:val="22"/>
        </w:rPr>
        <w:t>ector</w:t>
      </w:r>
      <w:r w:rsidR="007E41C3">
        <w:rPr>
          <w:rFonts w:asciiTheme="majorHAnsi" w:hAnsiTheme="majorHAnsi"/>
          <w:b/>
          <w:bCs/>
          <w:sz w:val="22"/>
          <w:szCs w:val="22"/>
        </w:rPr>
        <w:t xml:space="preserve"> Industrial</w:t>
      </w:r>
      <w:r w:rsidR="003543EF">
        <w:rPr>
          <w:rFonts w:asciiTheme="majorHAnsi" w:hAnsiTheme="majorHAnsi"/>
          <w:b/>
          <w:bCs/>
          <w:sz w:val="22"/>
          <w:szCs w:val="22"/>
        </w:rPr>
        <w:t xml:space="preserve"> para fortalecerlo y crecer </w:t>
      </w:r>
      <w:r>
        <w:rPr>
          <w:rFonts w:asciiTheme="majorHAnsi" w:hAnsiTheme="majorHAnsi"/>
          <w:bCs/>
          <w:sz w:val="22"/>
          <w:szCs w:val="22"/>
        </w:rPr>
        <w:t xml:space="preserve">. </w:t>
      </w:r>
    </w:p>
    <w:p w:rsidR="00305B43" w:rsidRDefault="00305B43" w:rsidP="00305B43">
      <w:pPr>
        <w:jc w:val="both"/>
        <w:rPr>
          <w:rFonts w:asciiTheme="majorHAnsi" w:hAnsiTheme="majorHAnsi"/>
          <w:bCs/>
          <w:sz w:val="22"/>
          <w:szCs w:val="22"/>
        </w:rPr>
      </w:pPr>
    </w:p>
    <w:p w:rsidR="00293295" w:rsidRDefault="00305B43" w:rsidP="00305B43">
      <w:pPr>
        <w:jc w:val="both"/>
        <w:rPr>
          <w:rFonts w:asciiTheme="majorHAnsi" w:hAnsiTheme="majorHAnsi"/>
          <w:bCs/>
          <w:sz w:val="22"/>
          <w:szCs w:val="22"/>
        </w:rPr>
      </w:pPr>
      <w:r>
        <w:rPr>
          <w:rFonts w:asciiTheme="majorHAnsi" w:hAnsiTheme="majorHAnsi"/>
          <w:bCs/>
          <w:sz w:val="22"/>
          <w:szCs w:val="22"/>
        </w:rPr>
        <w:t xml:space="preserve">De otro </w:t>
      </w:r>
      <w:r w:rsidR="00DB5FDE">
        <w:rPr>
          <w:rFonts w:asciiTheme="majorHAnsi" w:hAnsiTheme="majorHAnsi"/>
          <w:bCs/>
          <w:sz w:val="22"/>
          <w:szCs w:val="22"/>
        </w:rPr>
        <w:t>l</w:t>
      </w:r>
      <w:r>
        <w:rPr>
          <w:rFonts w:asciiTheme="majorHAnsi" w:hAnsiTheme="majorHAnsi"/>
          <w:bCs/>
          <w:sz w:val="22"/>
          <w:szCs w:val="22"/>
        </w:rPr>
        <w:t xml:space="preserve">ado el </w:t>
      </w:r>
      <w:r w:rsidRPr="00F32DD7">
        <w:rPr>
          <w:rFonts w:asciiTheme="majorHAnsi" w:hAnsiTheme="majorHAnsi"/>
          <w:b/>
          <w:bCs/>
          <w:i/>
          <w:sz w:val="22"/>
          <w:szCs w:val="22"/>
          <w:u w:val="single"/>
        </w:rPr>
        <w:t>Sector Pesca</w:t>
      </w:r>
      <w:r>
        <w:rPr>
          <w:rFonts w:asciiTheme="majorHAnsi" w:hAnsiTheme="majorHAnsi"/>
          <w:bCs/>
          <w:sz w:val="22"/>
          <w:szCs w:val="22"/>
        </w:rPr>
        <w:t xml:space="preserve"> actualmente se encuentra muy debilitado</w:t>
      </w:r>
      <w:r w:rsidR="0056420B">
        <w:rPr>
          <w:rFonts w:asciiTheme="majorHAnsi" w:hAnsiTheme="majorHAnsi"/>
          <w:bCs/>
          <w:sz w:val="22"/>
          <w:szCs w:val="22"/>
        </w:rPr>
        <w:t>,</w:t>
      </w:r>
      <w:r>
        <w:rPr>
          <w:rFonts w:asciiTheme="majorHAnsi" w:hAnsiTheme="majorHAnsi"/>
          <w:bCs/>
          <w:sz w:val="22"/>
          <w:szCs w:val="22"/>
        </w:rPr>
        <w:t xml:space="preserve"> </w:t>
      </w:r>
      <w:r w:rsidR="00970024">
        <w:rPr>
          <w:rFonts w:asciiTheme="majorHAnsi" w:hAnsiTheme="majorHAnsi"/>
          <w:bCs/>
          <w:sz w:val="22"/>
          <w:szCs w:val="22"/>
        </w:rPr>
        <w:t xml:space="preserve">debido a que </w:t>
      </w:r>
      <w:r w:rsidR="00293295">
        <w:rPr>
          <w:rFonts w:asciiTheme="majorHAnsi" w:hAnsiTheme="majorHAnsi"/>
          <w:bCs/>
          <w:sz w:val="22"/>
          <w:szCs w:val="22"/>
        </w:rPr>
        <w:t>la</w:t>
      </w:r>
      <w:r>
        <w:rPr>
          <w:rFonts w:asciiTheme="majorHAnsi" w:hAnsiTheme="majorHAnsi"/>
          <w:bCs/>
          <w:sz w:val="22"/>
          <w:szCs w:val="22"/>
        </w:rPr>
        <w:t xml:space="preserve"> </w:t>
      </w:r>
      <w:r w:rsidRPr="00F32DD7">
        <w:rPr>
          <w:rFonts w:asciiTheme="majorHAnsi" w:hAnsiTheme="majorHAnsi"/>
          <w:b/>
          <w:bCs/>
          <w:sz w:val="22"/>
          <w:szCs w:val="22"/>
          <w:u w:val="single"/>
        </w:rPr>
        <w:t>pesca extractiva</w:t>
      </w:r>
      <w:r w:rsidR="003543EF" w:rsidRPr="00F32DD7">
        <w:rPr>
          <w:rFonts w:asciiTheme="majorHAnsi" w:hAnsiTheme="majorHAnsi"/>
          <w:b/>
          <w:bCs/>
          <w:sz w:val="22"/>
          <w:szCs w:val="22"/>
          <w:u w:val="single"/>
        </w:rPr>
        <w:t xml:space="preserve"> de consumo humano directo </w:t>
      </w:r>
      <w:r w:rsidRPr="00F32DD7">
        <w:rPr>
          <w:rFonts w:asciiTheme="majorHAnsi" w:hAnsiTheme="majorHAnsi"/>
          <w:b/>
          <w:bCs/>
          <w:sz w:val="22"/>
          <w:szCs w:val="22"/>
          <w:u w:val="single"/>
        </w:rPr>
        <w:t>ya llego a su máxima capacidad de explotación</w:t>
      </w:r>
      <w:r w:rsidR="007E41C3" w:rsidRPr="00F32DD7">
        <w:rPr>
          <w:rFonts w:asciiTheme="majorHAnsi" w:hAnsiTheme="majorHAnsi"/>
          <w:b/>
          <w:bCs/>
          <w:sz w:val="22"/>
          <w:szCs w:val="22"/>
          <w:u w:val="single"/>
        </w:rPr>
        <w:t xml:space="preserve">, y el cambio </w:t>
      </w:r>
      <w:r w:rsidR="0056420B" w:rsidRPr="00F32DD7">
        <w:rPr>
          <w:rFonts w:asciiTheme="majorHAnsi" w:hAnsiTheme="majorHAnsi"/>
          <w:b/>
          <w:bCs/>
          <w:sz w:val="22"/>
          <w:szCs w:val="22"/>
          <w:u w:val="single"/>
        </w:rPr>
        <w:t>Climático</w:t>
      </w:r>
      <w:r w:rsidR="007E41C3" w:rsidRPr="00F32DD7">
        <w:rPr>
          <w:rFonts w:asciiTheme="majorHAnsi" w:hAnsiTheme="majorHAnsi"/>
          <w:b/>
          <w:bCs/>
          <w:sz w:val="22"/>
          <w:szCs w:val="22"/>
          <w:u w:val="single"/>
        </w:rPr>
        <w:t xml:space="preserve"> que </w:t>
      </w:r>
      <w:r w:rsidR="0056420B" w:rsidRPr="00F32DD7">
        <w:rPr>
          <w:rFonts w:asciiTheme="majorHAnsi" w:hAnsiTheme="majorHAnsi"/>
          <w:b/>
          <w:bCs/>
          <w:sz w:val="22"/>
          <w:szCs w:val="22"/>
          <w:u w:val="single"/>
        </w:rPr>
        <w:t>amenaza en convertirnos  en un par de décadas en un mar pobre,  con las características del mar caribeño</w:t>
      </w:r>
      <w:r w:rsidR="0056420B">
        <w:rPr>
          <w:rFonts w:asciiTheme="majorHAnsi" w:hAnsiTheme="majorHAnsi"/>
          <w:b/>
          <w:bCs/>
          <w:sz w:val="22"/>
          <w:szCs w:val="22"/>
        </w:rPr>
        <w:t>,</w:t>
      </w:r>
      <w:r>
        <w:rPr>
          <w:rFonts w:asciiTheme="majorHAnsi" w:hAnsiTheme="majorHAnsi"/>
          <w:bCs/>
          <w:sz w:val="22"/>
          <w:szCs w:val="22"/>
        </w:rPr>
        <w:t xml:space="preserve"> requiere un cuidado y trabajo muy fino para preservar y </w:t>
      </w:r>
      <w:r w:rsidR="004B33E6">
        <w:rPr>
          <w:rFonts w:asciiTheme="majorHAnsi" w:hAnsiTheme="majorHAnsi"/>
          <w:bCs/>
          <w:sz w:val="22"/>
          <w:szCs w:val="22"/>
        </w:rPr>
        <w:t>regula</w:t>
      </w:r>
      <w:r w:rsidR="003543EF">
        <w:rPr>
          <w:rFonts w:asciiTheme="majorHAnsi" w:hAnsiTheme="majorHAnsi"/>
          <w:bCs/>
          <w:sz w:val="22"/>
          <w:szCs w:val="22"/>
        </w:rPr>
        <w:t>r</w:t>
      </w:r>
      <w:r w:rsidR="004B33E6">
        <w:rPr>
          <w:rFonts w:asciiTheme="majorHAnsi" w:hAnsiTheme="majorHAnsi"/>
          <w:bCs/>
          <w:sz w:val="22"/>
          <w:szCs w:val="22"/>
        </w:rPr>
        <w:t xml:space="preserve"> la </w:t>
      </w:r>
      <w:r>
        <w:rPr>
          <w:rFonts w:asciiTheme="majorHAnsi" w:hAnsiTheme="majorHAnsi"/>
          <w:bCs/>
          <w:sz w:val="22"/>
          <w:szCs w:val="22"/>
        </w:rPr>
        <w:t>pesca extractiva</w:t>
      </w:r>
      <w:r w:rsidR="00AA7E1E">
        <w:rPr>
          <w:rFonts w:asciiTheme="majorHAnsi" w:hAnsiTheme="majorHAnsi"/>
          <w:bCs/>
          <w:sz w:val="22"/>
          <w:szCs w:val="22"/>
        </w:rPr>
        <w:t xml:space="preserve"> para el consumo humano directo</w:t>
      </w:r>
      <w:r w:rsidR="00970024">
        <w:rPr>
          <w:rFonts w:asciiTheme="majorHAnsi" w:hAnsiTheme="majorHAnsi"/>
          <w:bCs/>
          <w:sz w:val="22"/>
          <w:szCs w:val="22"/>
        </w:rPr>
        <w:t>,</w:t>
      </w:r>
      <w:r w:rsidR="00AA7E1E">
        <w:rPr>
          <w:rFonts w:asciiTheme="majorHAnsi" w:hAnsiTheme="majorHAnsi"/>
          <w:bCs/>
          <w:sz w:val="22"/>
          <w:szCs w:val="22"/>
        </w:rPr>
        <w:t xml:space="preserve"> así como para </w:t>
      </w:r>
      <w:r w:rsidR="00970024">
        <w:rPr>
          <w:rFonts w:asciiTheme="majorHAnsi" w:hAnsiTheme="majorHAnsi"/>
          <w:bCs/>
          <w:sz w:val="22"/>
          <w:szCs w:val="22"/>
        </w:rPr>
        <w:t>la</w:t>
      </w:r>
      <w:r w:rsidR="00AA7E1E">
        <w:rPr>
          <w:rFonts w:asciiTheme="majorHAnsi" w:hAnsiTheme="majorHAnsi"/>
          <w:bCs/>
          <w:sz w:val="22"/>
          <w:szCs w:val="22"/>
        </w:rPr>
        <w:t xml:space="preserve"> industrial</w:t>
      </w:r>
      <w:r w:rsidR="009037AA">
        <w:rPr>
          <w:rFonts w:asciiTheme="majorHAnsi" w:hAnsiTheme="majorHAnsi"/>
          <w:bCs/>
          <w:sz w:val="22"/>
          <w:szCs w:val="22"/>
        </w:rPr>
        <w:t xml:space="preserve">, es así que </w:t>
      </w:r>
      <w:r>
        <w:rPr>
          <w:rFonts w:asciiTheme="majorHAnsi" w:hAnsiTheme="majorHAnsi"/>
          <w:bCs/>
          <w:sz w:val="22"/>
          <w:szCs w:val="22"/>
        </w:rPr>
        <w:t xml:space="preserve"> el </w:t>
      </w:r>
      <w:r w:rsidRPr="004B33E6">
        <w:rPr>
          <w:rFonts w:asciiTheme="majorHAnsi" w:hAnsiTheme="majorHAnsi"/>
          <w:b/>
          <w:bCs/>
          <w:sz w:val="22"/>
          <w:szCs w:val="22"/>
        </w:rPr>
        <w:t xml:space="preserve">Sector </w:t>
      </w:r>
      <w:r w:rsidR="00293295" w:rsidRPr="004B33E6">
        <w:rPr>
          <w:rFonts w:asciiTheme="majorHAnsi" w:hAnsiTheme="majorHAnsi"/>
          <w:b/>
          <w:bCs/>
          <w:sz w:val="22"/>
          <w:szCs w:val="22"/>
        </w:rPr>
        <w:t>Acuícola</w:t>
      </w:r>
      <w:r>
        <w:rPr>
          <w:rFonts w:asciiTheme="majorHAnsi" w:hAnsiTheme="majorHAnsi"/>
          <w:bCs/>
          <w:sz w:val="22"/>
          <w:szCs w:val="22"/>
        </w:rPr>
        <w:t xml:space="preserve"> </w:t>
      </w:r>
      <w:r w:rsidR="009037AA">
        <w:rPr>
          <w:rFonts w:asciiTheme="majorHAnsi" w:hAnsiTheme="majorHAnsi"/>
          <w:bCs/>
          <w:sz w:val="22"/>
          <w:szCs w:val="22"/>
        </w:rPr>
        <w:t>se presenta como alternativa</w:t>
      </w:r>
      <w:r w:rsidR="00970024">
        <w:rPr>
          <w:rFonts w:asciiTheme="majorHAnsi" w:hAnsiTheme="majorHAnsi"/>
          <w:bCs/>
          <w:sz w:val="22"/>
          <w:szCs w:val="22"/>
        </w:rPr>
        <w:t xml:space="preserve"> a la cual no se le ha dado la importancia requerida y más bien se ha debilitado, siendo en la práctica la actividad que </w:t>
      </w:r>
      <w:r w:rsidR="00766970">
        <w:rPr>
          <w:rFonts w:asciiTheme="majorHAnsi" w:hAnsiTheme="majorHAnsi"/>
          <w:bCs/>
          <w:sz w:val="22"/>
          <w:szCs w:val="22"/>
        </w:rPr>
        <w:t>abastecerá</w:t>
      </w:r>
      <w:r w:rsidR="00970024">
        <w:rPr>
          <w:rFonts w:asciiTheme="majorHAnsi" w:hAnsiTheme="majorHAnsi"/>
          <w:bCs/>
          <w:sz w:val="22"/>
          <w:szCs w:val="22"/>
        </w:rPr>
        <w:t xml:space="preserve"> </w:t>
      </w:r>
      <w:r w:rsidR="00D14009">
        <w:rPr>
          <w:rFonts w:asciiTheme="majorHAnsi" w:hAnsiTheme="majorHAnsi"/>
          <w:bCs/>
          <w:sz w:val="22"/>
          <w:szCs w:val="22"/>
        </w:rPr>
        <w:t>y suplirá</w:t>
      </w:r>
      <w:r w:rsidR="00293295">
        <w:rPr>
          <w:rFonts w:asciiTheme="majorHAnsi" w:hAnsiTheme="majorHAnsi"/>
          <w:bCs/>
          <w:sz w:val="22"/>
          <w:szCs w:val="22"/>
        </w:rPr>
        <w:t xml:space="preserve"> la creciente demanda de proteínas animal</w:t>
      </w:r>
      <w:r w:rsidR="00766970">
        <w:rPr>
          <w:rFonts w:asciiTheme="majorHAnsi" w:hAnsiTheme="majorHAnsi"/>
          <w:bCs/>
          <w:sz w:val="22"/>
          <w:szCs w:val="22"/>
        </w:rPr>
        <w:t xml:space="preserve"> y  </w:t>
      </w:r>
      <w:r w:rsidR="009037AA">
        <w:rPr>
          <w:rFonts w:asciiTheme="majorHAnsi" w:hAnsiTheme="majorHAnsi"/>
          <w:bCs/>
          <w:sz w:val="22"/>
          <w:szCs w:val="22"/>
        </w:rPr>
        <w:t>garantizar la seguridad alimentaria del país y crea riqueza</w:t>
      </w:r>
      <w:r w:rsidR="00293295">
        <w:rPr>
          <w:rFonts w:asciiTheme="majorHAnsi" w:hAnsiTheme="majorHAnsi"/>
          <w:bCs/>
          <w:sz w:val="22"/>
          <w:szCs w:val="22"/>
        </w:rPr>
        <w:t>, en tal sentido se deber crear</w:t>
      </w:r>
      <w:r w:rsidR="0056420B">
        <w:rPr>
          <w:rFonts w:asciiTheme="majorHAnsi" w:hAnsiTheme="majorHAnsi"/>
          <w:bCs/>
          <w:sz w:val="22"/>
          <w:szCs w:val="22"/>
        </w:rPr>
        <w:t xml:space="preserve"> y fortalecedor </w:t>
      </w:r>
      <w:r w:rsidR="00293295">
        <w:rPr>
          <w:rFonts w:asciiTheme="majorHAnsi" w:hAnsiTheme="majorHAnsi"/>
          <w:bCs/>
          <w:sz w:val="22"/>
          <w:szCs w:val="22"/>
        </w:rPr>
        <w:t xml:space="preserve"> el Ministerio de Pesca y de Acuicultura, con </w:t>
      </w:r>
      <w:r w:rsidR="009037AA">
        <w:rPr>
          <w:rFonts w:asciiTheme="majorHAnsi" w:hAnsiTheme="majorHAnsi"/>
          <w:bCs/>
          <w:sz w:val="22"/>
          <w:szCs w:val="22"/>
        </w:rPr>
        <w:t>dos (</w:t>
      </w:r>
      <w:r w:rsidR="00293295" w:rsidRPr="009037AA">
        <w:rPr>
          <w:rFonts w:asciiTheme="majorHAnsi" w:hAnsiTheme="majorHAnsi"/>
          <w:bCs/>
          <w:sz w:val="22"/>
          <w:szCs w:val="22"/>
          <w:highlight w:val="yellow"/>
        </w:rPr>
        <w:t>2</w:t>
      </w:r>
      <w:r w:rsidR="009037AA">
        <w:rPr>
          <w:rFonts w:asciiTheme="majorHAnsi" w:hAnsiTheme="majorHAnsi"/>
          <w:bCs/>
          <w:sz w:val="22"/>
          <w:szCs w:val="22"/>
          <w:highlight w:val="yellow"/>
        </w:rPr>
        <w:t>)</w:t>
      </w:r>
      <w:r w:rsidR="00293295" w:rsidRPr="009037AA">
        <w:rPr>
          <w:rFonts w:asciiTheme="majorHAnsi" w:hAnsiTheme="majorHAnsi"/>
          <w:bCs/>
          <w:sz w:val="22"/>
          <w:szCs w:val="22"/>
          <w:highlight w:val="yellow"/>
        </w:rPr>
        <w:t xml:space="preserve"> viceministerios </w:t>
      </w:r>
      <w:r w:rsidR="00293295" w:rsidRPr="00DB5FDE">
        <w:rPr>
          <w:rFonts w:asciiTheme="majorHAnsi" w:hAnsiTheme="majorHAnsi"/>
          <w:bCs/>
          <w:sz w:val="22"/>
          <w:szCs w:val="22"/>
          <w:highlight w:val="yellow"/>
        </w:rPr>
        <w:t xml:space="preserve">el de Pesca </w:t>
      </w:r>
      <w:r w:rsidR="004B33E6">
        <w:rPr>
          <w:rFonts w:asciiTheme="majorHAnsi" w:hAnsiTheme="majorHAnsi"/>
          <w:bCs/>
          <w:sz w:val="22"/>
          <w:szCs w:val="22"/>
          <w:highlight w:val="yellow"/>
        </w:rPr>
        <w:t>y</w:t>
      </w:r>
      <w:r w:rsidR="00293295" w:rsidRPr="00DB5FDE">
        <w:rPr>
          <w:rFonts w:asciiTheme="majorHAnsi" w:hAnsiTheme="majorHAnsi"/>
          <w:bCs/>
          <w:sz w:val="22"/>
          <w:szCs w:val="22"/>
          <w:highlight w:val="yellow"/>
        </w:rPr>
        <w:t xml:space="preserve"> </w:t>
      </w:r>
      <w:r w:rsidR="004B33E6" w:rsidRPr="00677F5F">
        <w:rPr>
          <w:rFonts w:asciiTheme="majorHAnsi" w:hAnsiTheme="majorHAnsi"/>
          <w:bCs/>
          <w:sz w:val="22"/>
          <w:szCs w:val="22"/>
          <w:highlight w:val="yellow"/>
          <w:u w:val="single"/>
        </w:rPr>
        <w:t xml:space="preserve">el </w:t>
      </w:r>
      <w:r w:rsidR="00293295" w:rsidRPr="00677F5F">
        <w:rPr>
          <w:rFonts w:asciiTheme="majorHAnsi" w:hAnsiTheme="majorHAnsi"/>
          <w:bCs/>
          <w:sz w:val="22"/>
          <w:szCs w:val="22"/>
          <w:highlight w:val="yellow"/>
          <w:u w:val="single"/>
        </w:rPr>
        <w:t>de Acuicultura</w:t>
      </w:r>
      <w:r w:rsidR="00293295">
        <w:rPr>
          <w:rFonts w:asciiTheme="majorHAnsi" w:hAnsiTheme="majorHAnsi"/>
          <w:bCs/>
          <w:sz w:val="22"/>
          <w:szCs w:val="22"/>
        </w:rPr>
        <w:t>.</w:t>
      </w:r>
    </w:p>
    <w:p w:rsidR="00975262" w:rsidRDefault="00975262" w:rsidP="00305B43">
      <w:pPr>
        <w:jc w:val="both"/>
        <w:rPr>
          <w:rFonts w:asciiTheme="majorHAnsi" w:hAnsiTheme="majorHAnsi"/>
          <w:bCs/>
          <w:sz w:val="22"/>
          <w:szCs w:val="22"/>
        </w:rPr>
      </w:pPr>
    </w:p>
    <w:p w:rsidR="00E8698B" w:rsidRPr="0067613F" w:rsidRDefault="00293295" w:rsidP="00305B43">
      <w:pPr>
        <w:jc w:val="both"/>
        <w:rPr>
          <w:rFonts w:asciiTheme="majorHAnsi" w:hAnsiTheme="majorHAnsi"/>
          <w:bCs/>
          <w:sz w:val="22"/>
          <w:szCs w:val="22"/>
        </w:rPr>
      </w:pPr>
      <w:r>
        <w:rPr>
          <w:rFonts w:asciiTheme="majorHAnsi" w:hAnsiTheme="majorHAnsi"/>
          <w:bCs/>
          <w:sz w:val="22"/>
          <w:szCs w:val="22"/>
        </w:rPr>
        <w:t>En ese sentido</w:t>
      </w:r>
      <w:r w:rsidR="0067613F">
        <w:rPr>
          <w:rFonts w:asciiTheme="majorHAnsi" w:hAnsiTheme="majorHAnsi"/>
          <w:bCs/>
          <w:sz w:val="22"/>
          <w:szCs w:val="22"/>
        </w:rPr>
        <w:t xml:space="preserve">, </w:t>
      </w:r>
      <w:r w:rsidR="0056420B">
        <w:rPr>
          <w:rFonts w:asciiTheme="majorHAnsi" w:hAnsiTheme="majorHAnsi"/>
          <w:bCs/>
          <w:sz w:val="22"/>
          <w:szCs w:val="22"/>
        </w:rPr>
        <w:t xml:space="preserve">se necesita un </w:t>
      </w:r>
      <w:r w:rsidR="0056420B" w:rsidRPr="00DB5FDE">
        <w:rPr>
          <w:rFonts w:asciiTheme="majorHAnsi" w:hAnsiTheme="majorHAnsi"/>
          <w:b/>
          <w:bCs/>
          <w:sz w:val="22"/>
          <w:szCs w:val="22"/>
        </w:rPr>
        <w:t>ministerio</w:t>
      </w:r>
      <w:r w:rsidR="0056420B">
        <w:rPr>
          <w:rFonts w:asciiTheme="majorHAnsi" w:hAnsiTheme="majorHAnsi"/>
          <w:b/>
          <w:bCs/>
          <w:sz w:val="22"/>
          <w:szCs w:val="22"/>
        </w:rPr>
        <w:t xml:space="preserve"> que se dedique </w:t>
      </w:r>
      <w:r w:rsidR="0056420B" w:rsidRPr="00DB5FDE">
        <w:rPr>
          <w:rFonts w:asciiTheme="majorHAnsi" w:hAnsiTheme="majorHAnsi"/>
          <w:b/>
          <w:bCs/>
          <w:sz w:val="22"/>
          <w:szCs w:val="22"/>
        </w:rPr>
        <w:t xml:space="preserve"> a tiempo completo</w:t>
      </w:r>
      <w:r w:rsidR="0056420B">
        <w:rPr>
          <w:rFonts w:asciiTheme="majorHAnsi" w:hAnsiTheme="majorHAnsi"/>
          <w:b/>
          <w:bCs/>
          <w:sz w:val="22"/>
          <w:szCs w:val="22"/>
        </w:rPr>
        <w:t xml:space="preserve"> con visión empresarial</w:t>
      </w:r>
      <w:r w:rsidR="0056420B">
        <w:rPr>
          <w:rFonts w:asciiTheme="majorHAnsi" w:hAnsiTheme="majorHAnsi"/>
          <w:b/>
          <w:bCs/>
          <w:sz w:val="22"/>
          <w:szCs w:val="22"/>
        </w:rPr>
        <w:t xml:space="preserve"> pesquera acuícola </w:t>
      </w:r>
      <w:r w:rsidR="0056420B">
        <w:rPr>
          <w:rFonts w:asciiTheme="majorHAnsi" w:hAnsiTheme="majorHAnsi"/>
          <w:b/>
          <w:bCs/>
          <w:sz w:val="22"/>
          <w:szCs w:val="22"/>
        </w:rPr>
        <w:t xml:space="preserve">que haga suyo los problemas que pasa el Sector para fortalecerlo y crecer </w:t>
      </w:r>
      <w:r w:rsidR="00405494">
        <w:rPr>
          <w:rFonts w:asciiTheme="majorHAnsi" w:hAnsiTheme="majorHAnsi"/>
          <w:b/>
          <w:bCs/>
          <w:sz w:val="22"/>
          <w:szCs w:val="22"/>
        </w:rPr>
        <w:t>(</w:t>
      </w:r>
      <w:r w:rsidR="00405494" w:rsidRPr="00405494">
        <w:rPr>
          <w:rFonts w:asciiTheme="majorHAnsi" w:hAnsiTheme="majorHAnsi"/>
          <w:bCs/>
          <w:sz w:val="22"/>
          <w:szCs w:val="22"/>
        </w:rPr>
        <w:t>Actualmente</w:t>
      </w:r>
      <w:r w:rsidR="00405494">
        <w:rPr>
          <w:rFonts w:asciiTheme="majorHAnsi" w:hAnsiTheme="majorHAnsi"/>
          <w:b/>
          <w:bCs/>
          <w:sz w:val="22"/>
          <w:szCs w:val="22"/>
        </w:rPr>
        <w:t xml:space="preserve"> </w:t>
      </w:r>
      <w:r w:rsidR="00677F5F">
        <w:rPr>
          <w:rFonts w:asciiTheme="majorHAnsi" w:hAnsiTheme="majorHAnsi"/>
          <w:bCs/>
          <w:sz w:val="22"/>
          <w:szCs w:val="22"/>
        </w:rPr>
        <w:t xml:space="preserve">tal responsabilidad no debería recaer </w:t>
      </w:r>
      <w:r w:rsidR="00405494">
        <w:rPr>
          <w:rFonts w:asciiTheme="majorHAnsi" w:hAnsiTheme="majorHAnsi"/>
          <w:bCs/>
          <w:sz w:val="22"/>
          <w:szCs w:val="22"/>
        </w:rPr>
        <w:t xml:space="preserve">en un Ministerio de la Producción </w:t>
      </w:r>
      <w:r w:rsidR="00677F5F">
        <w:rPr>
          <w:rFonts w:asciiTheme="majorHAnsi" w:hAnsiTheme="majorHAnsi"/>
          <w:bCs/>
          <w:sz w:val="22"/>
          <w:szCs w:val="22"/>
        </w:rPr>
        <w:t xml:space="preserve">en que sus funciones son </w:t>
      </w:r>
      <w:r w:rsidR="00763EE0">
        <w:rPr>
          <w:rFonts w:asciiTheme="majorHAnsi" w:hAnsiTheme="majorHAnsi"/>
          <w:bCs/>
          <w:sz w:val="22"/>
          <w:szCs w:val="22"/>
        </w:rPr>
        <w:t xml:space="preserve">tan </w:t>
      </w:r>
      <w:r w:rsidR="00405494">
        <w:rPr>
          <w:rFonts w:asciiTheme="majorHAnsi" w:hAnsiTheme="majorHAnsi"/>
          <w:bCs/>
          <w:sz w:val="22"/>
          <w:szCs w:val="22"/>
        </w:rPr>
        <w:t xml:space="preserve">diversas, </w:t>
      </w:r>
      <w:r w:rsidR="00677F5F">
        <w:rPr>
          <w:rFonts w:asciiTheme="majorHAnsi" w:hAnsiTheme="majorHAnsi"/>
          <w:bCs/>
          <w:sz w:val="22"/>
          <w:szCs w:val="22"/>
        </w:rPr>
        <w:t>distintas y actualmente viene causando una distorsión en las actividades propias de los sectores antes indicados</w:t>
      </w:r>
      <w:r w:rsidR="00405494">
        <w:rPr>
          <w:rFonts w:asciiTheme="majorHAnsi" w:hAnsiTheme="majorHAnsi"/>
          <w:bCs/>
          <w:sz w:val="22"/>
          <w:szCs w:val="22"/>
        </w:rPr>
        <w:t>)</w:t>
      </w:r>
      <w:r w:rsidR="00677F5F">
        <w:rPr>
          <w:rFonts w:asciiTheme="majorHAnsi" w:hAnsiTheme="majorHAnsi"/>
          <w:bCs/>
          <w:sz w:val="22"/>
          <w:szCs w:val="22"/>
        </w:rPr>
        <w:t xml:space="preserve">; </w:t>
      </w:r>
      <w:r w:rsidR="004B33E6">
        <w:rPr>
          <w:rFonts w:asciiTheme="majorHAnsi" w:hAnsiTheme="majorHAnsi"/>
          <w:bCs/>
          <w:sz w:val="22"/>
          <w:szCs w:val="22"/>
        </w:rPr>
        <w:t xml:space="preserve"> </w:t>
      </w:r>
      <w:r w:rsidR="004B33E6" w:rsidRPr="007509C2">
        <w:rPr>
          <w:rFonts w:asciiTheme="majorHAnsi" w:hAnsiTheme="majorHAnsi"/>
          <w:bCs/>
          <w:i/>
          <w:sz w:val="28"/>
          <w:szCs w:val="28"/>
          <w:highlight w:val="cyan"/>
        </w:rPr>
        <w:t>como dice un antiguo refrán el que mucho abarca</w:t>
      </w:r>
      <w:r w:rsidR="00975262" w:rsidRPr="007509C2">
        <w:rPr>
          <w:rFonts w:asciiTheme="majorHAnsi" w:hAnsiTheme="majorHAnsi"/>
          <w:bCs/>
          <w:i/>
          <w:sz w:val="28"/>
          <w:szCs w:val="28"/>
          <w:highlight w:val="cyan"/>
        </w:rPr>
        <w:t>,</w:t>
      </w:r>
      <w:r w:rsidR="004B33E6" w:rsidRPr="007509C2">
        <w:rPr>
          <w:rFonts w:asciiTheme="majorHAnsi" w:hAnsiTheme="majorHAnsi"/>
          <w:bCs/>
          <w:i/>
          <w:sz w:val="28"/>
          <w:szCs w:val="28"/>
          <w:highlight w:val="cyan"/>
        </w:rPr>
        <w:t xml:space="preserve"> poco aprieta</w:t>
      </w:r>
      <w:r w:rsidR="00763EE0">
        <w:rPr>
          <w:rFonts w:asciiTheme="majorHAnsi" w:hAnsiTheme="majorHAnsi"/>
          <w:bCs/>
          <w:sz w:val="22"/>
          <w:szCs w:val="22"/>
        </w:rPr>
        <w:t xml:space="preserve">. En ese sentido, </w:t>
      </w:r>
      <w:r w:rsidR="0067613F">
        <w:rPr>
          <w:rFonts w:asciiTheme="majorHAnsi" w:hAnsiTheme="majorHAnsi"/>
          <w:bCs/>
          <w:sz w:val="22"/>
          <w:szCs w:val="22"/>
        </w:rPr>
        <w:t>le dejo a los</w:t>
      </w:r>
      <w:r w:rsidR="00763EE0">
        <w:rPr>
          <w:rFonts w:asciiTheme="majorHAnsi" w:hAnsiTheme="majorHAnsi"/>
          <w:bCs/>
          <w:sz w:val="22"/>
          <w:szCs w:val="22"/>
        </w:rPr>
        <w:t xml:space="preserve"> Colegios Profesionales y a los </w:t>
      </w:r>
      <w:r w:rsidR="0067613F">
        <w:rPr>
          <w:rFonts w:asciiTheme="majorHAnsi" w:hAnsiTheme="majorHAnsi"/>
          <w:bCs/>
          <w:sz w:val="22"/>
          <w:szCs w:val="22"/>
        </w:rPr>
        <w:t xml:space="preserve"> entendidos y conocedores de la realidad e importancia </w:t>
      </w:r>
      <w:r w:rsidR="004B33E6">
        <w:rPr>
          <w:rFonts w:asciiTheme="majorHAnsi" w:hAnsiTheme="majorHAnsi"/>
          <w:bCs/>
          <w:sz w:val="22"/>
          <w:szCs w:val="22"/>
        </w:rPr>
        <w:t>de un</w:t>
      </w:r>
      <w:r w:rsidR="0067613F">
        <w:rPr>
          <w:rFonts w:asciiTheme="majorHAnsi" w:hAnsiTheme="majorHAnsi"/>
          <w:bCs/>
          <w:sz w:val="22"/>
          <w:szCs w:val="22"/>
        </w:rPr>
        <w:t xml:space="preserve"> </w:t>
      </w:r>
      <w:r w:rsidR="0067613F" w:rsidRPr="00405494">
        <w:rPr>
          <w:rFonts w:asciiTheme="majorHAnsi" w:hAnsiTheme="majorHAnsi"/>
          <w:bCs/>
          <w:i/>
          <w:sz w:val="22"/>
          <w:szCs w:val="22"/>
          <w:u w:val="single"/>
        </w:rPr>
        <w:t xml:space="preserve">Ministerio de Industria y de </w:t>
      </w:r>
      <w:proofErr w:type="spellStart"/>
      <w:r w:rsidR="0067613F" w:rsidRPr="00405494">
        <w:rPr>
          <w:rFonts w:asciiTheme="majorHAnsi" w:hAnsiTheme="majorHAnsi"/>
          <w:bCs/>
          <w:i/>
          <w:sz w:val="22"/>
          <w:szCs w:val="22"/>
          <w:u w:val="single"/>
        </w:rPr>
        <w:t>Mypes</w:t>
      </w:r>
      <w:proofErr w:type="spellEnd"/>
      <w:r w:rsidR="0067613F" w:rsidRPr="00405494">
        <w:rPr>
          <w:rFonts w:asciiTheme="majorHAnsi" w:hAnsiTheme="majorHAnsi"/>
          <w:bCs/>
          <w:i/>
          <w:sz w:val="22"/>
          <w:szCs w:val="22"/>
          <w:u w:val="single"/>
        </w:rPr>
        <w:t xml:space="preserve"> e implementación de transferencia tecnológica</w:t>
      </w:r>
      <w:r w:rsidR="004B33E6">
        <w:rPr>
          <w:rFonts w:asciiTheme="majorHAnsi" w:hAnsiTheme="majorHAnsi"/>
          <w:bCs/>
          <w:sz w:val="22"/>
          <w:szCs w:val="22"/>
        </w:rPr>
        <w:t>,</w:t>
      </w:r>
      <w:r>
        <w:rPr>
          <w:rFonts w:asciiTheme="majorHAnsi" w:hAnsiTheme="majorHAnsi"/>
          <w:bCs/>
          <w:sz w:val="22"/>
          <w:szCs w:val="22"/>
        </w:rPr>
        <w:t xml:space="preserve"> </w:t>
      </w:r>
      <w:r w:rsidR="0067613F">
        <w:rPr>
          <w:rFonts w:asciiTheme="majorHAnsi" w:hAnsiTheme="majorHAnsi"/>
          <w:bCs/>
          <w:sz w:val="22"/>
          <w:szCs w:val="22"/>
        </w:rPr>
        <w:t>para que den su</w:t>
      </w:r>
      <w:r w:rsidR="00D14009">
        <w:rPr>
          <w:rFonts w:asciiTheme="majorHAnsi" w:hAnsiTheme="majorHAnsi"/>
          <w:bCs/>
          <w:sz w:val="22"/>
          <w:szCs w:val="22"/>
        </w:rPr>
        <w:t>s</w:t>
      </w:r>
      <w:r w:rsidR="0067613F">
        <w:rPr>
          <w:rFonts w:asciiTheme="majorHAnsi" w:hAnsiTheme="majorHAnsi"/>
          <w:bCs/>
          <w:sz w:val="22"/>
          <w:szCs w:val="22"/>
        </w:rPr>
        <w:t xml:space="preserve"> aporte</w:t>
      </w:r>
      <w:r w:rsidR="00766970">
        <w:rPr>
          <w:rFonts w:asciiTheme="majorHAnsi" w:hAnsiTheme="majorHAnsi"/>
          <w:bCs/>
          <w:sz w:val="22"/>
          <w:szCs w:val="22"/>
        </w:rPr>
        <w:t xml:space="preserve"> y opiniones</w:t>
      </w:r>
      <w:r w:rsidR="00763EE0">
        <w:rPr>
          <w:rFonts w:asciiTheme="majorHAnsi" w:hAnsiTheme="majorHAnsi"/>
          <w:bCs/>
          <w:sz w:val="22"/>
          <w:szCs w:val="22"/>
        </w:rPr>
        <w:t xml:space="preserve">. </w:t>
      </w:r>
      <w:r w:rsidR="00766970">
        <w:rPr>
          <w:rFonts w:asciiTheme="majorHAnsi" w:hAnsiTheme="majorHAnsi"/>
          <w:bCs/>
          <w:sz w:val="22"/>
          <w:szCs w:val="22"/>
        </w:rPr>
        <w:t xml:space="preserve"> </w:t>
      </w:r>
      <w:r w:rsidR="00763EE0">
        <w:rPr>
          <w:rFonts w:asciiTheme="majorHAnsi" w:hAnsiTheme="majorHAnsi"/>
          <w:bCs/>
          <w:sz w:val="22"/>
          <w:szCs w:val="22"/>
        </w:rPr>
        <w:t>Y</w:t>
      </w:r>
      <w:r w:rsidR="0067613F">
        <w:rPr>
          <w:rFonts w:asciiTheme="majorHAnsi" w:hAnsiTheme="majorHAnsi"/>
          <w:bCs/>
          <w:sz w:val="22"/>
          <w:szCs w:val="22"/>
        </w:rPr>
        <w:t xml:space="preserve"> </w:t>
      </w:r>
      <w:r w:rsidR="00D14009">
        <w:rPr>
          <w:rFonts w:asciiTheme="majorHAnsi" w:hAnsiTheme="majorHAnsi"/>
          <w:bCs/>
          <w:sz w:val="22"/>
          <w:szCs w:val="22"/>
        </w:rPr>
        <w:t xml:space="preserve">solo </w:t>
      </w:r>
      <w:r>
        <w:rPr>
          <w:rFonts w:asciiTheme="majorHAnsi" w:hAnsiTheme="majorHAnsi"/>
          <w:bCs/>
          <w:sz w:val="22"/>
          <w:szCs w:val="22"/>
        </w:rPr>
        <w:t xml:space="preserve">tratare la </w:t>
      </w:r>
      <w:r w:rsidRPr="0067613F">
        <w:rPr>
          <w:rFonts w:asciiTheme="majorHAnsi" w:hAnsiTheme="majorHAnsi"/>
          <w:b/>
          <w:bCs/>
          <w:sz w:val="22"/>
          <w:szCs w:val="22"/>
        </w:rPr>
        <w:t>actividad acuícola</w:t>
      </w:r>
      <w:r>
        <w:rPr>
          <w:rFonts w:asciiTheme="majorHAnsi" w:hAnsiTheme="majorHAnsi"/>
          <w:bCs/>
          <w:sz w:val="22"/>
          <w:szCs w:val="22"/>
        </w:rPr>
        <w:t xml:space="preserve"> que es la que sustentara </w:t>
      </w:r>
      <w:r w:rsidR="004B33E6">
        <w:rPr>
          <w:rFonts w:asciiTheme="majorHAnsi" w:hAnsiTheme="majorHAnsi"/>
          <w:bCs/>
          <w:sz w:val="22"/>
          <w:szCs w:val="22"/>
        </w:rPr>
        <w:t xml:space="preserve">en </w:t>
      </w:r>
      <w:r w:rsidR="00763EE0">
        <w:rPr>
          <w:rFonts w:asciiTheme="majorHAnsi" w:hAnsiTheme="majorHAnsi"/>
          <w:bCs/>
          <w:sz w:val="22"/>
          <w:szCs w:val="22"/>
        </w:rPr>
        <w:t xml:space="preserve">el </w:t>
      </w:r>
      <w:r w:rsidR="004B33E6">
        <w:rPr>
          <w:rFonts w:asciiTheme="majorHAnsi" w:hAnsiTheme="majorHAnsi"/>
          <w:bCs/>
          <w:sz w:val="22"/>
          <w:szCs w:val="22"/>
        </w:rPr>
        <w:t>futur</w:t>
      </w:r>
      <w:r w:rsidR="00763EE0">
        <w:rPr>
          <w:rFonts w:asciiTheme="majorHAnsi" w:hAnsiTheme="majorHAnsi"/>
          <w:bCs/>
          <w:sz w:val="22"/>
          <w:szCs w:val="22"/>
        </w:rPr>
        <w:t>o</w:t>
      </w:r>
      <w:r w:rsidR="004B33E6">
        <w:rPr>
          <w:rFonts w:asciiTheme="majorHAnsi" w:hAnsiTheme="majorHAnsi"/>
          <w:bCs/>
          <w:sz w:val="22"/>
          <w:szCs w:val="22"/>
        </w:rPr>
        <w:t xml:space="preserve"> </w:t>
      </w:r>
      <w:r>
        <w:rPr>
          <w:rFonts w:asciiTheme="majorHAnsi" w:hAnsiTheme="majorHAnsi"/>
          <w:bCs/>
          <w:sz w:val="22"/>
          <w:szCs w:val="22"/>
        </w:rPr>
        <w:t>la seguridad alimentaria</w:t>
      </w:r>
      <w:r w:rsidR="009037AA">
        <w:rPr>
          <w:rFonts w:asciiTheme="majorHAnsi" w:hAnsiTheme="majorHAnsi"/>
          <w:bCs/>
          <w:sz w:val="22"/>
          <w:szCs w:val="22"/>
        </w:rPr>
        <w:t xml:space="preserve"> y riqueza de un </w:t>
      </w:r>
      <w:r w:rsidR="00763EE0">
        <w:rPr>
          <w:rFonts w:asciiTheme="majorHAnsi" w:hAnsiTheme="majorHAnsi"/>
          <w:bCs/>
          <w:sz w:val="22"/>
          <w:szCs w:val="22"/>
        </w:rPr>
        <w:t>país, y con intención de que los</w:t>
      </w:r>
      <w:r w:rsidR="00763EE0" w:rsidRPr="00763EE0">
        <w:rPr>
          <w:rFonts w:asciiTheme="majorHAnsi" w:hAnsiTheme="majorHAnsi"/>
          <w:bCs/>
          <w:sz w:val="22"/>
          <w:szCs w:val="22"/>
        </w:rPr>
        <w:t xml:space="preserve"> </w:t>
      </w:r>
      <w:r w:rsidR="00763EE0">
        <w:rPr>
          <w:rFonts w:asciiTheme="majorHAnsi" w:hAnsiTheme="majorHAnsi"/>
          <w:bCs/>
          <w:sz w:val="22"/>
          <w:szCs w:val="22"/>
        </w:rPr>
        <w:t xml:space="preserve">Colegios Profesionales y a los  entendidos y conocedores </w:t>
      </w:r>
      <w:r w:rsidR="00763EE0">
        <w:rPr>
          <w:rFonts w:asciiTheme="majorHAnsi" w:hAnsiTheme="majorHAnsi"/>
          <w:bCs/>
          <w:sz w:val="22"/>
          <w:szCs w:val="22"/>
        </w:rPr>
        <w:t xml:space="preserve">en la materia aporten y participen </w:t>
      </w:r>
      <w:r w:rsidR="00F32DD7">
        <w:rPr>
          <w:rFonts w:asciiTheme="majorHAnsi" w:hAnsiTheme="majorHAnsi"/>
          <w:bCs/>
          <w:sz w:val="22"/>
          <w:szCs w:val="22"/>
        </w:rPr>
        <w:t>en el fortalecimiento del sector Pesca - Acuícola</w:t>
      </w:r>
      <w:r>
        <w:rPr>
          <w:rFonts w:asciiTheme="majorHAnsi" w:hAnsiTheme="majorHAnsi"/>
          <w:bCs/>
          <w:sz w:val="22"/>
          <w:szCs w:val="22"/>
        </w:rPr>
        <w:t xml:space="preserve">    </w:t>
      </w:r>
      <w:r w:rsidR="00305B43">
        <w:rPr>
          <w:rFonts w:asciiTheme="majorHAnsi" w:hAnsiTheme="majorHAnsi"/>
          <w:bCs/>
          <w:sz w:val="22"/>
          <w:szCs w:val="22"/>
        </w:rPr>
        <w:t xml:space="preserve"> </w:t>
      </w:r>
    </w:p>
    <w:p w:rsidR="00E8698B" w:rsidRPr="0067613F" w:rsidRDefault="00E8698B" w:rsidP="00305B43">
      <w:pPr>
        <w:jc w:val="both"/>
        <w:rPr>
          <w:rFonts w:asciiTheme="majorHAnsi" w:hAnsiTheme="majorHAnsi"/>
          <w:bCs/>
          <w:sz w:val="22"/>
          <w:szCs w:val="22"/>
        </w:rPr>
      </w:pPr>
    </w:p>
    <w:p w:rsidR="00DF474A" w:rsidRPr="00DF474A" w:rsidRDefault="00DF474A" w:rsidP="00DF474A">
      <w:pPr>
        <w:jc w:val="both"/>
        <w:rPr>
          <w:rFonts w:asciiTheme="majorHAnsi" w:hAnsiTheme="majorHAnsi" w:cs="Arial"/>
          <w:sz w:val="22"/>
          <w:szCs w:val="22"/>
        </w:rPr>
      </w:pPr>
      <w:r>
        <w:rPr>
          <w:rFonts w:asciiTheme="majorHAnsi" w:hAnsiTheme="majorHAnsi" w:cs="Arial"/>
          <w:sz w:val="22"/>
          <w:szCs w:val="22"/>
        </w:rPr>
        <w:t>L</w:t>
      </w:r>
      <w:r w:rsidRPr="00DF474A">
        <w:rPr>
          <w:rFonts w:asciiTheme="majorHAnsi" w:hAnsiTheme="majorHAnsi" w:cs="Arial"/>
          <w:sz w:val="22"/>
          <w:szCs w:val="22"/>
        </w:rPr>
        <w:t xml:space="preserve">a </w:t>
      </w:r>
      <w:r w:rsidRPr="00F32DD7">
        <w:rPr>
          <w:rFonts w:asciiTheme="majorHAnsi" w:hAnsiTheme="majorHAnsi" w:cs="Arial"/>
          <w:b/>
          <w:sz w:val="22"/>
          <w:szCs w:val="22"/>
        </w:rPr>
        <w:t>ACUICULTURA</w:t>
      </w:r>
      <w:r w:rsidRPr="00DF474A">
        <w:rPr>
          <w:rFonts w:asciiTheme="majorHAnsi" w:hAnsiTheme="majorHAnsi" w:cs="Arial"/>
          <w:sz w:val="22"/>
          <w:szCs w:val="22"/>
        </w:rPr>
        <w:t xml:space="preserve"> por definición se orienta al cultivo de organismos acuáticos (peces, moluscos, crustáceos y plantas), en áreas continentales o costeras (marinas), que implica por un lado la intervención en el proceso de crianza (producción de semilla, alimentación, manejo, engorde y cosecha) para mejorar la producción y por el otro la propiedad individual o empresarial del stock cultivado. (FAO), que viene a ser lo antagónico, (pero compatible)  a la actividad de la PESCA (industrial, artesanal y deportiva) que por definición es la captura y extracción de su medio natural de peces u otras especies acuáticas como crustáceos, moluscos e invertebrados. (FAO).</w:t>
      </w:r>
    </w:p>
    <w:p w:rsidR="00DF474A" w:rsidRPr="00DF474A" w:rsidRDefault="00DF474A" w:rsidP="00DF474A">
      <w:pPr>
        <w:jc w:val="both"/>
        <w:rPr>
          <w:rFonts w:asciiTheme="majorHAnsi" w:hAnsiTheme="majorHAnsi" w:cs="Arial"/>
          <w:sz w:val="22"/>
          <w:szCs w:val="22"/>
        </w:rPr>
      </w:pPr>
    </w:p>
    <w:p w:rsidR="00DF474A" w:rsidRPr="00DF474A" w:rsidRDefault="00DF474A" w:rsidP="00DF474A">
      <w:pPr>
        <w:jc w:val="both"/>
        <w:rPr>
          <w:rFonts w:asciiTheme="majorHAnsi" w:hAnsiTheme="majorHAnsi" w:cs="Arial"/>
          <w:sz w:val="22"/>
          <w:szCs w:val="22"/>
        </w:rPr>
      </w:pPr>
      <w:r w:rsidRPr="00DF474A">
        <w:rPr>
          <w:rFonts w:asciiTheme="majorHAnsi" w:hAnsiTheme="majorHAnsi" w:cs="Arial"/>
          <w:sz w:val="22"/>
          <w:szCs w:val="22"/>
        </w:rPr>
        <w:t xml:space="preserve">En tal sentido,  se puede sostener  que estas actividades tiene técnicas, formas  y desarrollos tecnológicos  diferenciados, toda vez que la ACUICULTURA se orienta al cultivo (crianza) de recursos hidrobiológicos pudiendo generar su semilla sin afectar el medio </w:t>
      </w:r>
      <w:r w:rsidRPr="00DF474A">
        <w:rPr>
          <w:rFonts w:asciiTheme="majorHAnsi" w:hAnsiTheme="majorHAnsi" w:cs="Arial"/>
          <w:sz w:val="22"/>
          <w:szCs w:val="22"/>
        </w:rPr>
        <w:lastRenderedPageBreak/>
        <w:t>ambiente, a diferencia de la PESCA extractiva que está basada en la captura directamente del medio acuático. De otro lado, la acuicultura implica la propiedad individual o colectiva del stock cultivado favoreciendo su protección, a diferencia de la actividad extractiva la cual si no es debidamente regulada influye negativamente sobre las poblaciones naturales.</w:t>
      </w:r>
    </w:p>
    <w:p w:rsidR="00DF474A" w:rsidRPr="00DF474A" w:rsidRDefault="00DF474A" w:rsidP="00DF474A">
      <w:pPr>
        <w:jc w:val="both"/>
        <w:rPr>
          <w:rFonts w:asciiTheme="majorHAnsi" w:hAnsiTheme="majorHAnsi" w:cs="Arial"/>
          <w:sz w:val="22"/>
          <w:szCs w:val="22"/>
        </w:rPr>
      </w:pPr>
    </w:p>
    <w:p w:rsidR="00DF474A" w:rsidRPr="00F32DD7" w:rsidRDefault="00DF474A" w:rsidP="00DF474A">
      <w:pPr>
        <w:jc w:val="both"/>
        <w:rPr>
          <w:rFonts w:asciiTheme="majorHAnsi" w:hAnsiTheme="majorHAnsi" w:cs="Arial"/>
          <w:sz w:val="22"/>
          <w:szCs w:val="22"/>
        </w:rPr>
      </w:pPr>
      <w:r w:rsidRPr="00F32DD7">
        <w:rPr>
          <w:rFonts w:asciiTheme="majorHAnsi" w:hAnsiTheme="majorHAnsi" w:cs="Arial"/>
          <w:sz w:val="22"/>
          <w:szCs w:val="22"/>
        </w:rPr>
        <w:t>La actividad acuícola permite incluir a las poblaciones rurales a que puedan acceder a mercados, tenga la oportunidad de crear riqueza, tenga la oportunidad de generar bienestar y tenga la oportunidad de apoyar a la seguridad alimentaria del país.</w:t>
      </w:r>
    </w:p>
    <w:p w:rsidR="00E8698B" w:rsidRPr="00F32DD7" w:rsidRDefault="00E8698B" w:rsidP="00645C07">
      <w:pPr>
        <w:rPr>
          <w:rFonts w:asciiTheme="majorHAnsi" w:hAnsiTheme="majorHAnsi" w:cs="Arial"/>
          <w:sz w:val="22"/>
          <w:szCs w:val="22"/>
        </w:rPr>
      </w:pPr>
    </w:p>
    <w:p w:rsidR="00645C07" w:rsidRPr="00883E07" w:rsidRDefault="00F55465" w:rsidP="00DB43D6">
      <w:pPr>
        <w:pStyle w:val="Prrafodelista"/>
        <w:numPr>
          <w:ilvl w:val="1"/>
          <w:numId w:val="3"/>
        </w:numPr>
        <w:ind w:left="709" w:hanging="709"/>
        <w:jc w:val="both"/>
        <w:rPr>
          <w:rFonts w:asciiTheme="majorHAnsi" w:hAnsiTheme="majorHAnsi" w:cs="Arial"/>
          <w:b/>
        </w:rPr>
      </w:pPr>
      <w:r w:rsidRPr="00883E07">
        <w:rPr>
          <w:rFonts w:asciiTheme="majorHAnsi" w:hAnsiTheme="majorHAnsi" w:cs="Arial"/>
          <w:b/>
        </w:rPr>
        <w:t>ANTECEDENTES</w:t>
      </w:r>
      <w:r w:rsidR="00F32DD7">
        <w:rPr>
          <w:rFonts w:asciiTheme="majorHAnsi" w:hAnsiTheme="majorHAnsi" w:cs="Arial"/>
          <w:b/>
        </w:rPr>
        <w:t xml:space="preserve"> HISTORICOS</w:t>
      </w:r>
    </w:p>
    <w:p w:rsidR="00F55465" w:rsidRDefault="00F55465" w:rsidP="00645C07">
      <w:pPr>
        <w:jc w:val="both"/>
        <w:rPr>
          <w:rFonts w:asciiTheme="majorHAnsi" w:hAnsiTheme="majorHAnsi" w:cs="Arial"/>
          <w:sz w:val="22"/>
          <w:szCs w:val="22"/>
        </w:rPr>
      </w:pPr>
    </w:p>
    <w:p w:rsidR="006D5DD4" w:rsidRPr="006D5DD4" w:rsidRDefault="006D5DD4" w:rsidP="006D5DD4">
      <w:pPr>
        <w:jc w:val="both"/>
        <w:rPr>
          <w:rFonts w:asciiTheme="majorHAnsi" w:hAnsiTheme="majorHAnsi" w:cs="Arial"/>
          <w:sz w:val="22"/>
          <w:szCs w:val="22"/>
        </w:rPr>
      </w:pPr>
      <w:r>
        <w:rPr>
          <w:rFonts w:asciiTheme="majorHAnsi" w:hAnsiTheme="majorHAnsi" w:cs="Arial"/>
          <w:sz w:val="22"/>
          <w:szCs w:val="22"/>
        </w:rPr>
        <w:t xml:space="preserve">La Ex Dirección General de Acuicultura </w:t>
      </w:r>
      <w:r w:rsidR="00F32DD7">
        <w:rPr>
          <w:rFonts w:asciiTheme="majorHAnsi" w:hAnsiTheme="majorHAnsi" w:cs="Arial"/>
          <w:sz w:val="22"/>
          <w:szCs w:val="22"/>
        </w:rPr>
        <w:t>con visión futurista y entendedora de los cambios climáticos que se avecinaba (</w:t>
      </w:r>
      <w:r>
        <w:rPr>
          <w:rFonts w:asciiTheme="majorHAnsi" w:hAnsiTheme="majorHAnsi" w:cs="Arial"/>
          <w:sz w:val="22"/>
          <w:szCs w:val="22"/>
        </w:rPr>
        <w:t>hoy Dirección de Acuicultura de la Dirección General de Extracción y Producción Pesquera para Consumo Humano</w:t>
      </w:r>
      <w:r w:rsidR="00F32DD7">
        <w:rPr>
          <w:rFonts w:asciiTheme="majorHAnsi" w:hAnsiTheme="majorHAnsi" w:cs="Arial"/>
          <w:sz w:val="22"/>
          <w:szCs w:val="22"/>
        </w:rPr>
        <w:t>)</w:t>
      </w:r>
      <w:r>
        <w:rPr>
          <w:rFonts w:asciiTheme="majorHAnsi" w:hAnsiTheme="majorHAnsi" w:cs="Arial"/>
          <w:sz w:val="22"/>
          <w:szCs w:val="22"/>
        </w:rPr>
        <w:t xml:space="preserve"> </w:t>
      </w:r>
      <w:r w:rsidRPr="006D5DD4">
        <w:rPr>
          <w:rFonts w:asciiTheme="majorHAnsi" w:hAnsiTheme="majorHAnsi" w:cs="Arial"/>
          <w:sz w:val="22"/>
          <w:szCs w:val="22"/>
        </w:rPr>
        <w:t>viene gestando desde el año 2009 a la luz de los lineamientos de política pública</w:t>
      </w:r>
      <w:r w:rsidR="00F32DD7">
        <w:rPr>
          <w:rFonts w:asciiTheme="majorHAnsi" w:hAnsiTheme="majorHAnsi" w:cs="Arial"/>
          <w:sz w:val="22"/>
          <w:szCs w:val="22"/>
        </w:rPr>
        <w:t xml:space="preserve"> </w:t>
      </w:r>
      <w:r w:rsidRPr="006D5DD4">
        <w:rPr>
          <w:rFonts w:asciiTheme="majorHAnsi" w:hAnsiTheme="majorHAnsi" w:cs="Arial"/>
          <w:sz w:val="22"/>
          <w:szCs w:val="22"/>
        </w:rPr>
        <w:t xml:space="preserve"> </w:t>
      </w:r>
      <w:r>
        <w:rPr>
          <w:rFonts w:asciiTheme="majorHAnsi" w:hAnsiTheme="majorHAnsi" w:cs="Arial"/>
          <w:sz w:val="22"/>
          <w:szCs w:val="22"/>
        </w:rPr>
        <w:t>y</w:t>
      </w:r>
      <w:r w:rsidRPr="006D5DD4">
        <w:rPr>
          <w:rFonts w:asciiTheme="majorHAnsi" w:hAnsiTheme="majorHAnsi" w:cs="Arial"/>
          <w:sz w:val="22"/>
          <w:szCs w:val="22"/>
        </w:rPr>
        <w:t xml:space="preserve"> considerado que se requiere contar con una norma actualizada que regule la actividad acuícola, a fin de facilitar la administración de la actividad y la transparencia de la gestión pública a cargo del Ministerio de la Producción, Gobiernos Regionales y Locales; asimismo, contribuir con el flujo de inversiones nacionales y extranjeras en la citada actividad y dar sostenibilidad al crecimiento económico del país.</w:t>
      </w:r>
      <w:r>
        <w:rPr>
          <w:rFonts w:asciiTheme="majorHAnsi" w:hAnsiTheme="majorHAnsi" w:cs="Arial"/>
          <w:sz w:val="22"/>
          <w:szCs w:val="22"/>
        </w:rPr>
        <w:t xml:space="preserve">, ha venido </w:t>
      </w:r>
      <w:r w:rsidRPr="006D5DD4">
        <w:rPr>
          <w:rFonts w:asciiTheme="majorHAnsi" w:hAnsiTheme="majorHAnsi" w:cs="Arial"/>
          <w:sz w:val="22"/>
          <w:szCs w:val="22"/>
        </w:rPr>
        <w:t>revisa</w:t>
      </w:r>
      <w:r>
        <w:rPr>
          <w:rFonts w:asciiTheme="majorHAnsi" w:hAnsiTheme="majorHAnsi" w:cs="Arial"/>
          <w:sz w:val="22"/>
          <w:szCs w:val="22"/>
        </w:rPr>
        <w:t xml:space="preserve">ndo y </w:t>
      </w:r>
      <w:r w:rsidRPr="006D5DD4">
        <w:rPr>
          <w:rFonts w:asciiTheme="majorHAnsi" w:hAnsiTheme="majorHAnsi" w:cs="Arial"/>
          <w:sz w:val="22"/>
          <w:szCs w:val="22"/>
        </w:rPr>
        <w:t>actualiza</w:t>
      </w:r>
      <w:r>
        <w:rPr>
          <w:rFonts w:asciiTheme="majorHAnsi" w:hAnsiTheme="majorHAnsi" w:cs="Arial"/>
          <w:sz w:val="22"/>
          <w:szCs w:val="22"/>
        </w:rPr>
        <w:t>ndo</w:t>
      </w:r>
      <w:r w:rsidRPr="006D5DD4">
        <w:rPr>
          <w:rFonts w:asciiTheme="majorHAnsi" w:hAnsiTheme="majorHAnsi" w:cs="Arial"/>
          <w:sz w:val="22"/>
          <w:szCs w:val="22"/>
        </w:rPr>
        <w:t>, dando un enfoque de preservación del ambiente y la conservación de la biodiversidad y una alternativa de desarrollo productivo con inclusión social y acorde al Plan Nacional de Desarrollo Acuícola (2010-2021) aprobado por Decreto Supremo N° 001-2010 PRODUCE.</w:t>
      </w:r>
    </w:p>
    <w:p w:rsidR="006D5DD4" w:rsidRPr="006D5DD4" w:rsidRDefault="006D5DD4" w:rsidP="006D5DD4">
      <w:pPr>
        <w:jc w:val="both"/>
        <w:rPr>
          <w:rFonts w:asciiTheme="majorHAnsi" w:hAnsiTheme="majorHAnsi" w:cs="Arial"/>
          <w:sz w:val="22"/>
          <w:szCs w:val="22"/>
        </w:rPr>
      </w:pPr>
    </w:p>
    <w:p w:rsidR="006D5DD4" w:rsidRDefault="006D5DD4" w:rsidP="006D5DD4">
      <w:pPr>
        <w:jc w:val="both"/>
        <w:rPr>
          <w:rFonts w:asciiTheme="majorHAnsi" w:hAnsiTheme="majorHAnsi" w:cs="Arial"/>
          <w:sz w:val="22"/>
          <w:szCs w:val="22"/>
        </w:rPr>
      </w:pPr>
      <w:r w:rsidRPr="006D5DD4">
        <w:rPr>
          <w:rFonts w:asciiTheme="majorHAnsi" w:hAnsiTheme="majorHAnsi" w:cs="Arial"/>
          <w:sz w:val="22"/>
          <w:szCs w:val="22"/>
        </w:rPr>
        <w:t>Cabe indicar que luego de la dación de la Ley N° 27460 - Ley de Promoción y Desarrollo de la Acuicultura del 21.05.2001, vigente a la fecha, se han presentado cambios sustanciales en la estructura del Estado, asimismo en el ámbito funcional y en el orden jurídico; aspectos que han sido considerados en la propuesta alcanzada</w:t>
      </w:r>
      <w:r>
        <w:rPr>
          <w:rFonts w:asciiTheme="majorHAnsi" w:hAnsiTheme="majorHAnsi" w:cs="Arial"/>
          <w:sz w:val="22"/>
          <w:szCs w:val="22"/>
        </w:rPr>
        <w:t xml:space="preserve"> a la Alta Dirección del Ministerio de la Producción  y debido a los cambios sucesivos de los funcionarios y a una política errante</w:t>
      </w:r>
      <w:r w:rsidR="00EE5348">
        <w:rPr>
          <w:rFonts w:asciiTheme="majorHAnsi" w:hAnsiTheme="majorHAnsi" w:cs="Arial"/>
          <w:sz w:val="22"/>
          <w:szCs w:val="22"/>
        </w:rPr>
        <w:t xml:space="preserve"> sobre el aspecto acuícola, </w:t>
      </w:r>
      <w:r>
        <w:rPr>
          <w:rFonts w:asciiTheme="majorHAnsi" w:hAnsiTheme="majorHAnsi" w:cs="Arial"/>
          <w:sz w:val="22"/>
          <w:szCs w:val="22"/>
        </w:rPr>
        <w:t xml:space="preserve"> hasta la fecha no se ha podido cristalizar dicho proyecto de Ley.</w:t>
      </w:r>
    </w:p>
    <w:p w:rsidR="006D5DD4" w:rsidRDefault="006D5DD4" w:rsidP="00645C07">
      <w:pPr>
        <w:jc w:val="both"/>
        <w:rPr>
          <w:rFonts w:asciiTheme="majorHAnsi" w:hAnsiTheme="majorHAnsi" w:cs="Arial"/>
          <w:sz w:val="22"/>
          <w:szCs w:val="22"/>
        </w:rPr>
      </w:pPr>
    </w:p>
    <w:p w:rsidR="0088422F" w:rsidRPr="00883E07" w:rsidRDefault="00645C07" w:rsidP="0088422F">
      <w:pPr>
        <w:autoSpaceDE w:val="0"/>
        <w:autoSpaceDN w:val="0"/>
        <w:adjustRightInd w:val="0"/>
        <w:ind w:right="68"/>
        <w:jc w:val="both"/>
        <w:rPr>
          <w:rFonts w:asciiTheme="majorHAnsi" w:hAnsiTheme="majorHAnsi" w:cs="Arial"/>
          <w:sz w:val="22"/>
          <w:szCs w:val="22"/>
        </w:rPr>
      </w:pPr>
      <w:r w:rsidRPr="00883E07">
        <w:rPr>
          <w:rFonts w:asciiTheme="majorHAnsi" w:hAnsiTheme="majorHAnsi" w:cs="Arial"/>
          <w:sz w:val="22"/>
          <w:szCs w:val="22"/>
        </w:rPr>
        <w:t>La Ley N</w:t>
      </w:r>
      <w:r w:rsidR="009015F8" w:rsidRPr="00883E07">
        <w:rPr>
          <w:rFonts w:asciiTheme="majorHAnsi" w:hAnsiTheme="majorHAnsi" w:cs="Arial"/>
          <w:sz w:val="22"/>
          <w:szCs w:val="22"/>
        </w:rPr>
        <w:t>°</w:t>
      </w:r>
      <w:r w:rsidRPr="00883E07">
        <w:rPr>
          <w:rFonts w:asciiTheme="majorHAnsi" w:hAnsiTheme="majorHAnsi" w:cs="Arial"/>
          <w:sz w:val="22"/>
          <w:szCs w:val="22"/>
        </w:rPr>
        <w:t xml:space="preserve"> 27460 - Ley de Promoción y Desarrollo de la Acuicultura</w:t>
      </w:r>
      <w:r w:rsidR="00AD285E" w:rsidRPr="00883E07">
        <w:rPr>
          <w:rFonts w:asciiTheme="majorHAnsi" w:hAnsiTheme="majorHAnsi" w:cs="Arial"/>
          <w:sz w:val="22"/>
          <w:szCs w:val="22"/>
        </w:rPr>
        <w:t>,</w:t>
      </w:r>
      <w:r w:rsidRPr="00883E07">
        <w:rPr>
          <w:rFonts w:asciiTheme="majorHAnsi" w:hAnsiTheme="majorHAnsi" w:cs="Arial"/>
          <w:sz w:val="22"/>
          <w:szCs w:val="22"/>
        </w:rPr>
        <w:t xml:space="preserve"> modificad</w:t>
      </w:r>
      <w:r w:rsidR="00AD285E" w:rsidRPr="00883E07">
        <w:rPr>
          <w:rFonts w:asciiTheme="majorHAnsi" w:hAnsiTheme="majorHAnsi" w:cs="Arial"/>
          <w:sz w:val="22"/>
          <w:szCs w:val="22"/>
        </w:rPr>
        <w:t>a</w:t>
      </w:r>
      <w:r w:rsidRPr="00883E07">
        <w:rPr>
          <w:rFonts w:asciiTheme="majorHAnsi" w:hAnsiTheme="majorHAnsi" w:cs="Arial"/>
          <w:sz w:val="22"/>
          <w:szCs w:val="22"/>
        </w:rPr>
        <w:t xml:space="preserve"> por Ley N° 28326 y preci</w:t>
      </w:r>
      <w:r w:rsidR="002774FF" w:rsidRPr="00883E07">
        <w:rPr>
          <w:rFonts w:asciiTheme="majorHAnsi" w:hAnsiTheme="majorHAnsi" w:cs="Arial"/>
          <w:sz w:val="22"/>
          <w:szCs w:val="22"/>
        </w:rPr>
        <w:t>s</w:t>
      </w:r>
      <w:r w:rsidRPr="00883E07">
        <w:rPr>
          <w:rFonts w:asciiTheme="majorHAnsi" w:hAnsiTheme="majorHAnsi" w:cs="Arial"/>
          <w:sz w:val="22"/>
          <w:szCs w:val="22"/>
        </w:rPr>
        <w:t xml:space="preserve">ada por Ley N° 29331, tiene como objetivo regular y promover la actividad </w:t>
      </w:r>
      <w:r w:rsidR="0088422F" w:rsidRPr="00883E07">
        <w:rPr>
          <w:rFonts w:asciiTheme="majorHAnsi" w:hAnsiTheme="majorHAnsi" w:cs="Arial"/>
          <w:sz w:val="22"/>
          <w:szCs w:val="22"/>
        </w:rPr>
        <w:t xml:space="preserve">de </w:t>
      </w:r>
      <w:r w:rsidR="009015F8" w:rsidRPr="00883E07">
        <w:rPr>
          <w:rFonts w:asciiTheme="majorHAnsi" w:hAnsiTheme="majorHAnsi" w:cs="Arial"/>
          <w:sz w:val="22"/>
          <w:szCs w:val="22"/>
        </w:rPr>
        <w:t xml:space="preserve">acuicultura </w:t>
      </w:r>
      <w:r w:rsidRPr="00883E07">
        <w:rPr>
          <w:rFonts w:asciiTheme="majorHAnsi" w:hAnsiTheme="majorHAnsi" w:cs="Arial"/>
          <w:sz w:val="22"/>
          <w:szCs w:val="22"/>
        </w:rPr>
        <w:t>en aguas marinas, continentales o salobres</w:t>
      </w:r>
      <w:r w:rsidR="0088422F" w:rsidRPr="00883E07">
        <w:rPr>
          <w:rFonts w:asciiTheme="majorHAnsi" w:hAnsiTheme="majorHAnsi" w:cs="Arial"/>
          <w:sz w:val="22"/>
          <w:szCs w:val="22"/>
        </w:rPr>
        <w:t>, la norma da inicio a la ordenación</w:t>
      </w:r>
      <w:r w:rsidR="0088422F" w:rsidRPr="00883E07">
        <w:rPr>
          <w:rFonts w:asciiTheme="majorHAnsi" w:hAnsiTheme="majorHAnsi"/>
          <w:sz w:val="22"/>
          <w:szCs w:val="22"/>
          <w:vertAlign w:val="superscript"/>
        </w:rPr>
        <w:footnoteReference w:id="1"/>
      </w:r>
      <w:r w:rsidR="0088422F" w:rsidRPr="00883E07">
        <w:rPr>
          <w:rFonts w:asciiTheme="majorHAnsi" w:hAnsiTheme="majorHAnsi" w:cs="Arial"/>
          <w:sz w:val="22"/>
          <w:szCs w:val="22"/>
        </w:rPr>
        <w:t xml:space="preserve"> y promoción de la actividad acuícola en el País, definiendo la actividad en sí y clasificándola, por sus niveles de producción como acuicultura de subsistencia y acuicultura comercial, acuicultura de mayor escala cuando se reporta una producción mayor a 50 t brutas por año, de menor escala cuando se reporta una producción de 2 y hasta 50 t brutas por año y acuicultura de subsistencia aquella cuya producción no es mayor de 2 t brutas por año y es destinada preferentemente al autoconsumo o intercambio con otros productos</w:t>
      </w:r>
      <w:r w:rsidRPr="00883E07">
        <w:rPr>
          <w:rFonts w:asciiTheme="majorHAnsi" w:hAnsiTheme="majorHAnsi" w:cs="Arial"/>
          <w:sz w:val="22"/>
          <w:szCs w:val="22"/>
        </w:rPr>
        <w:t xml:space="preserve">. El ámbito de aplicación de la ley comprende a las personas naturales o jurídicas que desarrollen actividades acuícolas, las cuales </w:t>
      </w:r>
      <w:r w:rsidR="00AD285E" w:rsidRPr="00883E07">
        <w:rPr>
          <w:rFonts w:asciiTheme="majorHAnsi" w:hAnsiTheme="majorHAnsi" w:cs="Arial"/>
          <w:sz w:val="22"/>
          <w:szCs w:val="22"/>
        </w:rPr>
        <w:t>implican</w:t>
      </w:r>
      <w:r w:rsidRPr="00883E07">
        <w:rPr>
          <w:rFonts w:asciiTheme="majorHAnsi" w:hAnsiTheme="majorHAnsi" w:cs="Arial"/>
          <w:sz w:val="22"/>
          <w:szCs w:val="22"/>
        </w:rPr>
        <w:t xml:space="preserve"> el cultivo de especies </w:t>
      </w:r>
      <w:r w:rsidR="00AD285E" w:rsidRPr="00883E07">
        <w:rPr>
          <w:rFonts w:asciiTheme="majorHAnsi" w:hAnsiTheme="majorHAnsi" w:cs="Arial"/>
          <w:sz w:val="22"/>
          <w:szCs w:val="22"/>
        </w:rPr>
        <w:t>hidrobiol</w:t>
      </w:r>
      <w:r w:rsidR="00EC0DF9" w:rsidRPr="00883E07">
        <w:rPr>
          <w:rFonts w:asciiTheme="majorHAnsi" w:hAnsiTheme="majorHAnsi" w:cs="Arial"/>
          <w:sz w:val="22"/>
          <w:szCs w:val="22"/>
        </w:rPr>
        <w:t>ó</w:t>
      </w:r>
      <w:r w:rsidR="00AD285E" w:rsidRPr="00883E07">
        <w:rPr>
          <w:rFonts w:asciiTheme="majorHAnsi" w:hAnsiTheme="majorHAnsi" w:cs="Arial"/>
          <w:sz w:val="22"/>
          <w:szCs w:val="22"/>
        </w:rPr>
        <w:t>gicas</w:t>
      </w:r>
      <w:r w:rsidR="00AA4B2C" w:rsidRPr="00883E07">
        <w:rPr>
          <w:rFonts w:asciiTheme="majorHAnsi" w:hAnsiTheme="majorHAnsi" w:cs="Arial"/>
          <w:color w:val="FF0000"/>
          <w:sz w:val="22"/>
          <w:szCs w:val="22"/>
        </w:rPr>
        <w:t xml:space="preserve"> </w:t>
      </w:r>
      <w:r w:rsidRPr="00883E07">
        <w:rPr>
          <w:rFonts w:asciiTheme="majorHAnsi" w:hAnsiTheme="majorHAnsi" w:cs="Arial"/>
          <w:sz w:val="22"/>
          <w:szCs w:val="22"/>
        </w:rPr>
        <w:t xml:space="preserve">en forma organizada y tecnificada, en medios o ambientes seleccionados, controlados, naturales, acondicionados o artificiales, ya sea que realicen el ciclo biológico parcial o completo, en aguas marinas, continentales o salobres. La actividad acuícola comprende también la investigación y para efectos de </w:t>
      </w:r>
      <w:r w:rsidR="00132C52" w:rsidRPr="00883E07">
        <w:rPr>
          <w:rFonts w:asciiTheme="majorHAnsi" w:hAnsiTheme="majorHAnsi" w:cs="Arial"/>
          <w:sz w:val="22"/>
          <w:szCs w:val="22"/>
        </w:rPr>
        <w:t>dicha</w:t>
      </w:r>
      <w:r w:rsidRPr="00883E07">
        <w:rPr>
          <w:rFonts w:asciiTheme="majorHAnsi" w:hAnsiTheme="majorHAnsi" w:cs="Arial"/>
          <w:sz w:val="22"/>
          <w:szCs w:val="22"/>
        </w:rPr>
        <w:t xml:space="preserve"> Ley, el procesamiento de los productos provenientes de dicha actividad.</w:t>
      </w:r>
    </w:p>
    <w:p w:rsidR="0088422F" w:rsidRPr="00883E07" w:rsidRDefault="0088422F" w:rsidP="0088422F">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El Artículo 26 cita que es de aplicación a la actividad de la acuicultura lo dispuesto en el párrafo 4.1 del artículo 4°, el artículo 5°, el artículo 6° y el artículo 8° de la Ley  N° 27360, </w:t>
      </w:r>
      <w:r w:rsidRPr="00883E07">
        <w:rPr>
          <w:rFonts w:asciiTheme="majorHAnsi" w:hAnsiTheme="majorHAnsi" w:cs="Arial"/>
          <w:sz w:val="22"/>
          <w:szCs w:val="22"/>
        </w:rPr>
        <w:lastRenderedPageBreak/>
        <w:t>Ley que aprueba las normas de promoción del sector agrario; que en resumen establece beneficios tributarios aplicando la tasa de 15% al Impuesto a la Renta, recuperación anticipada del IGV pagado por las adquisiciones de bienes de capital, servicios y contratos de construcción a los usuarios que se encuentren en la etapa pre productiva de sus inversiones y establece también el régimen laboral y de seguridad social.</w:t>
      </w:r>
    </w:p>
    <w:p w:rsidR="0088422F" w:rsidRPr="00883E07" w:rsidRDefault="0088422F" w:rsidP="0088422F">
      <w:pPr>
        <w:jc w:val="both"/>
        <w:rPr>
          <w:rFonts w:asciiTheme="majorHAnsi" w:hAnsiTheme="majorHAnsi" w:cs="Arial"/>
          <w:sz w:val="22"/>
          <w:szCs w:val="22"/>
        </w:rPr>
      </w:pPr>
      <w:r w:rsidRPr="00883E07">
        <w:rPr>
          <w:rFonts w:asciiTheme="majorHAnsi" w:hAnsiTheme="majorHAnsi" w:cs="Arial"/>
          <w:sz w:val="22"/>
          <w:szCs w:val="22"/>
        </w:rPr>
        <w:t>La Ley de Promoción y Desarrollo de la Acuicultura considera en su Capítulo III que los beneficios tributarios que se aplican a la actividad de acuicultura son los establecidos en el párrafo 4.1 del artículo 4° y en los artículos 5°, 6° y 8° de la Ley de Promoción del Sector Agrario – Ley N° 27360; estableciendo que estos beneficios tendrán vigencia hasta el 31 de diciembre de 2010 y se aplicarán sin perjuicio de cualquier otro beneficio tributario.</w:t>
      </w:r>
    </w:p>
    <w:p w:rsidR="0088422F" w:rsidRPr="00883E07" w:rsidRDefault="0088422F" w:rsidP="0088422F">
      <w:pPr>
        <w:jc w:val="both"/>
        <w:rPr>
          <w:rFonts w:asciiTheme="majorHAnsi" w:hAnsiTheme="majorHAnsi" w:cs="Arial"/>
          <w:sz w:val="22"/>
          <w:szCs w:val="22"/>
        </w:rPr>
      </w:pPr>
    </w:p>
    <w:p w:rsidR="0088422F" w:rsidRPr="00883E07" w:rsidRDefault="0088422F" w:rsidP="0088422F">
      <w:pPr>
        <w:jc w:val="both"/>
        <w:rPr>
          <w:rFonts w:asciiTheme="majorHAnsi" w:hAnsiTheme="majorHAnsi" w:cs="Arial"/>
          <w:sz w:val="22"/>
          <w:szCs w:val="22"/>
        </w:rPr>
      </w:pPr>
      <w:r w:rsidRPr="00883E07">
        <w:rPr>
          <w:rFonts w:asciiTheme="majorHAnsi" w:hAnsiTheme="majorHAnsi" w:cs="Arial"/>
          <w:sz w:val="22"/>
          <w:szCs w:val="22"/>
        </w:rPr>
        <w:t>Asimismo, la Ley N° 28326 en su artículo 2° suspendió</w:t>
      </w:r>
      <w:r w:rsidRPr="00883E07">
        <w:rPr>
          <w:rFonts w:asciiTheme="majorHAnsi" w:hAnsiTheme="majorHAnsi" w:cs="Arial"/>
          <w:b/>
          <w:sz w:val="22"/>
          <w:szCs w:val="22"/>
        </w:rPr>
        <w:t xml:space="preserve"> </w:t>
      </w:r>
      <w:r w:rsidRPr="00883E07">
        <w:rPr>
          <w:rFonts w:asciiTheme="majorHAnsi" w:hAnsiTheme="majorHAnsi" w:cs="Arial"/>
          <w:sz w:val="22"/>
          <w:szCs w:val="22"/>
        </w:rPr>
        <w:t>el pago por derecho de acuicultura establecido en el artículo 19°  de la Ley N° 27460, Ley de Promoción y Desarrollo de la Acuicultura, hasta el 31 de diciembre del año 2010.</w:t>
      </w:r>
    </w:p>
    <w:p w:rsidR="0088422F" w:rsidRPr="00883E07" w:rsidRDefault="0088422F" w:rsidP="0088422F">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Mediante el Decreto Supremo N° 027-2007-PCM, Decreto Supremo que </w:t>
      </w:r>
      <w:r w:rsidRPr="00883E07">
        <w:rPr>
          <w:rFonts w:asciiTheme="majorHAnsi" w:hAnsiTheme="majorHAnsi" w:cs="Arial"/>
          <w:bCs/>
          <w:sz w:val="22"/>
          <w:szCs w:val="22"/>
        </w:rPr>
        <w:t xml:space="preserve">define y establece las Políticas Nacionales de obligatorio cumplimiento para las entidades del Gobierno Nacional, </w:t>
      </w:r>
      <w:r w:rsidRPr="00883E07">
        <w:rPr>
          <w:rFonts w:asciiTheme="majorHAnsi" w:hAnsiTheme="majorHAnsi" w:cs="Arial"/>
          <w:sz w:val="22"/>
          <w:szCs w:val="22"/>
        </w:rPr>
        <w:t>se establecen, entre otras, las Políticas Nacionales en relación al aumento de capacidades sociales: seguridad alimentaria y en materia de empleo y MYPE la generación de empleo digno.</w:t>
      </w:r>
    </w:p>
    <w:p w:rsidR="0088422F" w:rsidRPr="00883E07" w:rsidRDefault="0088422F" w:rsidP="0088422F">
      <w:pPr>
        <w:spacing w:before="240" w:after="240"/>
        <w:jc w:val="both"/>
        <w:rPr>
          <w:rFonts w:asciiTheme="majorHAnsi" w:hAnsiTheme="majorHAnsi" w:cs="Arial"/>
          <w:sz w:val="22"/>
          <w:szCs w:val="22"/>
        </w:rPr>
      </w:pPr>
      <w:r w:rsidRPr="00883E07">
        <w:rPr>
          <w:rFonts w:asciiTheme="majorHAnsi" w:hAnsiTheme="majorHAnsi" w:cs="Arial"/>
          <w:sz w:val="22"/>
          <w:szCs w:val="22"/>
        </w:rPr>
        <w:t>Por otro lado, en el marco de la ordenación, estableció la elaboración del Plan Nacional de Desarrollo Acuícola, el Catastro Acuícola Nacional, la Red de Información Acuícola y el Fondo de Investigación Acuícola.</w:t>
      </w:r>
    </w:p>
    <w:p w:rsidR="0088422F" w:rsidRPr="00883E07" w:rsidRDefault="0088422F" w:rsidP="0088422F">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En diciembre del año 2008 se emite el Decreto Legislativo N° 1032 en el que se declaró de interés nacional a la inversión y facilitación administrativa de la actividad acuícola, con la finalidad de promover la participación en dicha actividad, como fuente de alimentación, empleo e ingresos. Asimismo precisa entre otros aspectos, que el uso del agua para actividades acuícolas, al no ser consuntiva, no estará afecta al pago de tarifas y tendrá prioridad frente al uso del agua por otras actividades productivas y regula la actividad. </w:t>
      </w:r>
    </w:p>
    <w:p w:rsidR="0088422F" w:rsidRPr="00883E07" w:rsidRDefault="0088422F" w:rsidP="0088422F">
      <w:pPr>
        <w:jc w:val="both"/>
        <w:rPr>
          <w:rFonts w:asciiTheme="majorHAnsi" w:hAnsiTheme="majorHAnsi" w:cs="Arial"/>
          <w:sz w:val="22"/>
          <w:szCs w:val="22"/>
        </w:rPr>
      </w:pPr>
      <w:r w:rsidRPr="00883E07">
        <w:rPr>
          <w:rFonts w:asciiTheme="majorHAnsi" w:hAnsiTheme="majorHAnsi" w:cs="Arial"/>
          <w:sz w:val="22"/>
          <w:szCs w:val="22"/>
        </w:rPr>
        <w:t xml:space="preserve">En enero del 2010 se emite el Decreto Supremo N° 001-2010-PRODUCE con el que se aprueba el Plan Nacional de Desarrollo Acuícola 2010 - 2021, señalando entre sus objetivos estratégicos el incremento de la inversión privada en acuicultura, apoyar la diversificación e impulso de las especies acuícolas consolidadas, contribuir al crecimiento de la economía nacional, generando empleo e ingresos, mejorando la seguridad alimentaria de segmentos vulnerables de la población y promoviendo un desarrollo regional equilibrado; además tiene como principales metas </w:t>
      </w:r>
      <w:r w:rsidRPr="00964800">
        <w:rPr>
          <w:rFonts w:asciiTheme="majorHAnsi" w:hAnsiTheme="majorHAnsi" w:cs="Arial"/>
          <w:b/>
          <w:sz w:val="22"/>
          <w:szCs w:val="22"/>
        </w:rPr>
        <w:t>al año 2015</w:t>
      </w:r>
      <w:r w:rsidRPr="00883E07">
        <w:rPr>
          <w:rFonts w:asciiTheme="majorHAnsi" w:hAnsiTheme="majorHAnsi" w:cs="Arial"/>
          <w:sz w:val="22"/>
          <w:szCs w:val="22"/>
        </w:rPr>
        <w:t xml:space="preserve">, incrementar el volumen de exportaciones y la comercialización de productos acuícolas a nivel interno, incrementar los derechos otorgados, aumentando las áreas disponibles para la acuicultura y alcanzar </w:t>
      </w:r>
      <w:r w:rsidRPr="007241A9">
        <w:rPr>
          <w:rFonts w:asciiTheme="majorHAnsi" w:hAnsiTheme="majorHAnsi" w:cs="Arial"/>
          <w:b/>
          <w:sz w:val="22"/>
          <w:szCs w:val="22"/>
        </w:rPr>
        <w:t>una producción de 110 mil TM</w:t>
      </w:r>
      <w:r w:rsidRPr="00883E07">
        <w:rPr>
          <w:rFonts w:asciiTheme="majorHAnsi" w:hAnsiTheme="majorHAnsi" w:cs="Arial"/>
          <w:sz w:val="22"/>
          <w:szCs w:val="22"/>
        </w:rPr>
        <w:t>.</w:t>
      </w:r>
    </w:p>
    <w:p w:rsidR="0088422F" w:rsidRPr="00883E07" w:rsidRDefault="0088422F" w:rsidP="0088422F">
      <w:pPr>
        <w:jc w:val="both"/>
        <w:rPr>
          <w:rFonts w:asciiTheme="majorHAnsi" w:hAnsiTheme="majorHAnsi" w:cs="Arial"/>
          <w:sz w:val="22"/>
          <w:szCs w:val="22"/>
        </w:rPr>
      </w:pPr>
    </w:p>
    <w:p w:rsidR="0088422F" w:rsidRPr="00883E07" w:rsidRDefault="0088422F" w:rsidP="0088422F">
      <w:pPr>
        <w:jc w:val="both"/>
        <w:rPr>
          <w:rFonts w:asciiTheme="majorHAnsi" w:hAnsiTheme="majorHAnsi" w:cs="Arial"/>
          <w:sz w:val="22"/>
          <w:szCs w:val="22"/>
        </w:rPr>
      </w:pPr>
      <w:r w:rsidRPr="00883E07">
        <w:rPr>
          <w:rFonts w:asciiTheme="majorHAnsi" w:hAnsiTheme="majorHAnsi" w:cs="Arial"/>
          <w:sz w:val="22"/>
          <w:szCs w:val="22"/>
        </w:rPr>
        <w:t xml:space="preserve">La Ley N° 27360 - Ley que Aprueba las Normas de Promoción del Sector Agrario, cuyos beneficios tributarios fueron ampliados hasta el 31 de diciembre del 2021 mediante la Ley N° 28810. </w:t>
      </w:r>
    </w:p>
    <w:p w:rsidR="0088422F" w:rsidRPr="00883E07" w:rsidRDefault="0088422F" w:rsidP="0088422F">
      <w:pPr>
        <w:jc w:val="both"/>
        <w:rPr>
          <w:rFonts w:asciiTheme="majorHAnsi" w:hAnsiTheme="majorHAnsi" w:cs="Arial"/>
          <w:sz w:val="22"/>
          <w:szCs w:val="22"/>
        </w:rPr>
      </w:pPr>
    </w:p>
    <w:p w:rsidR="0088422F" w:rsidRPr="00883E07" w:rsidRDefault="0088422F" w:rsidP="0088422F">
      <w:pPr>
        <w:jc w:val="both"/>
        <w:rPr>
          <w:rFonts w:asciiTheme="majorHAnsi" w:hAnsiTheme="majorHAnsi" w:cs="Arial"/>
          <w:sz w:val="22"/>
          <w:szCs w:val="22"/>
        </w:rPr>
      </w:pPr>
      <w:r w:rsidRPr="00883E07">
        <w:rPr>
          <w:rFonts w:asciiTheme="majorHAnsi" w:hAnsiTheme="majorHAnsi" w:cs="Arial"/>
          <w:sz w:val="22"/>
          <w:szCs w:val="22"/>
        </w:rPr>
        <w:t>El Decreto Legislativo N° 973, que establece el Régimen Especial de Recuperación Anticipada del Impuesto General a las Ventas, en su numeral 3.2 del artículo 3 dispone que no será de aplicación a los proyectos en el sector agrario, el monto del compromiso de inversión señalado en el citado artículo, para acogerse a dicho beneficio.</w:t>
      </w:r>
    </w:p>
    <w:p w:rsidR="0088422F" w:rsidRPr="00883E07" w:rsidRDefault="0088422F" w:rsidP="0088422F">
      <w:pPr>
        <w:spacing w:before="240" w:after="240"/>
        <w:jc w:val="both"/>
        <w:rPr>
          <w:rFonts w:asciiTheme="majorHAnsi" w:hAnsiTheme="majorHAnsi" w:cs="Arial"/>
          <w:sz w:val="22"/>
          <w:szCs w:val="22"/>
        </w:rPr>
      </w:pPr>
      <w:r w:rsidRPr="00883E07">
        <w:rPr>
          <w:rFonts w:asciiTheme="majorHAnsi" w:hAnsiTheme="majorHAnsi" w:cs="Arial"/>
          <w:sz w:val="22"/>
          <w:szCs w:val="22"/>
        </w:rPr>
        <w:lastRenderedPageBreak/>
        <w:t xml:space="preserve">En diciembre del 2010 se promulga la Ley Nº 29644, la cual  tiene como objetivo establecer medidas de promoción a favor de la actividad de la acuicultura. Por tal, en su Artículo 2,  establece como beneficio, aplicable hasta el 31 de diciembre de 2021, la depreciación para efecto del Impuesto a la Renta a razón de veinte por ciento (20%) anual del monto de las inversiones en estanques de cultivo en tierra y canales de abastecimiento de agua. </w:t>
      </w:r>
    </w:p>
    <w:p w:rsidR="0088422F" w:rsidRPr="00883E07" w:rsidRDefault="0088422F" w:rsidP="0088422F">
      <w:pPr>
        <w:spacing w:before="240" w:after="240"/>
        <w:jc w:val="both"/>
        <w:rPr>
          <w:rFonts w:asciiTheme="majorHAnsi" w:hAnsiTheme="majorHAnsi" w:cs="Arial"/>
          <w:sz w:val="22"/>
          <w:szCs w:val="22"/>
        </w:rPr>
      </w:pPr>
      <w:r w:rsidRPr="00883E07">
        <w:rPr>
          <w:rFonts w:asciiTheme="majorHAnsi" w:hAnsiTheme="majorHAnsi" w:cs="Arial"/>
          <w:sz w:val="22"/>
          <w:szCs w:val="22"/>
        </w:rPr>
        <w:t>Del  mismo  modo,  en  el  Artículo 3,  modifica los artículos  26  y  27  de la Ley Nº 27460, ampliando los beneficios tributarios establecidos hasta el 31 de diciembre del año 2013, y suspende el pago por derecho de acuicultura, hasta el 31 de diciembre del año 2021.</w:t>
      </w:r>
    </w:p>
    <w:p w:rsidR="0088422F" w:rsidRPr="00883E07" w:rsidRDefault="0088422F" w:rsidP="0088422F">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Por último, en el Artículo 5, establece los aportes de responsabilidad social, disponiendo que las personas dedicadas a la actividad de la acuicultura y que gozan de los beneficios tributarios establecidos, tengan que invertir el 20% de la suma resultante del beneficio tributario como aporte de responsabilidad social dentro de la localidad donde realizan sus operaciones acuícolas. </w:t>
      </w:r>
    </w:p>
    <w:p w:rsidR="008872FB" w:rsidRPr="00883E07" w:rsidRDefault="008872FB" w:rsidP="00DB43D6">
      <w:pPr>
        <w:pStyle w:val="Prrafodelista"/>
        <w:numPr>
          <w:ilvl w:val="1"/>
          <w:numId w:val="3"/>
        </w:numPr>
        <w:ind w:left="709" w:hanging="709"/>
        <w:jc w:val="both"/>
        <w:rPr>
          <w:rFonts w:asciiTheme="majorHAnsi" w:hAnsiTheme="majorHAnsi" w:cs="Arial"/>
          <w:b/>
        </w:rPr>
      </w:pPr>
      <w:r w:rsidRPr="00883E07">
        <w:rPr>
          <w:rFonts w:asciiTheme="majorHAnsi" w:hAnsiTheme="majorHAnsi" w:cs="Arial"/>
          <w:b/>
        </w:rPr>
        <w:t>PROPUESTA NORMATIVA</w:t>
      </w:r>
    </w:p>
    <w:p w:rsidR="00132C52" w:rsidRPr="00883E07" w:rsidRDefault="00132C52" w:rsidP="00132C52">
      <w:pPr>
        <w:jc w:val="both"/>
        <w:rPr>
          <w:rFonts w:asciiTheme="majorHAnsi" w:eastAsia="MS Mincho" w:hAnsiTheme="majorHAnsi" w:cs="Arial"/>
          <w:sz w:val="22"/>
          <w:szCs w:val="22"/>
        </w:rPr>
      </w:pPr>
    </w:p>
    <w:p w:rsidR="00F55465" w:rsidRPr="00883E07" w:rsidRDefault="008F7D07" w:rsidP="00EC0DF9">
      <w:pPr>
        <w:jc w:val="both"/>
        <w:rPr>
          <w:rFonts w:asciiTheme="majorHAnsi" w:eastAsia="MS Mincho" w:hAnsiTheme="majorHAnsi" w:cs="Arial"/>
          <w:sz w:val="22"/>
          <w:szCs w:val="22"/>
          <w:lang w:val="es-PE"/>
        </w:rPr>
      </w:pPr>
      <w:r w:rsidRPr="00883E07">
        <w:rPr>
          <w:rFonts w:asciiTheme="majorHAnsi" w:eastAsia="MS Mincho" w:hAnsiTheme="majorHAnsi" w:cs="Arial"/>
          <w:sz w:val="22"/>
          <w:szCs w:val="22"/>
        </w:rPr>
        <w:t xml:space="preserve">El proyecto </w:t>
      </w:r>
      <w:r w:rsidR="00567BC1">
        <w:rPr>
          <w:rFonts w:asciiTheme="majorHAnsi" w:eastAsia="MS Mincho" w:hAnsiTheme="majorHAnsi" w:cs="Arial"/>
          <w:sz w:val="22"/>
          <w:szCs w:val="22"/>
        </w:rPr>
        <w:t xml:space="preserve">debe </w:t>
      </w:r>
      <w:r w:rsidR="00F55465" w:rsidRPr="00883E07">
        <w:rPr>
          <w:rFonts w:asciiTheme="majorHAnsi" w:eastAsia="MS Mincho" w:hAnsiTheme="majorHAnsi" w:cs="Arial"/>
          <w:sz w:val="22"/>
          <w:szCs w:val="22"/>
          <w:lang w:val="es-PE"/>
        </w:rPr>
        <w:t xml:space="preserve">tiene por objeto </w:t>
      </w:r>
      <w:r w:rsidR="00964800">
        <w:rPr>
          <w:rFonts w:asciiTheme="majorHAnsi" w:eastAsia="MS Mincho" w:hAnsiTheme="majorHAnsi" w:cs="Arial"/>
          <w:sz w:val="22"/>
          <w:szCs w:val="22"/>
          <w:lang w:val="es-PE"/>
        </w:rPr>
        <w:t xml:space="preserve">impulsar, </w:t>
      </w:r>
      <w:r w:rsidR="007241A9">
        <w:rPr>
          <w:rFonts w:asciiTheme="majorHAnsi" w:eastAsia="MS Mincho" w:hAnsiTheme="majorHAnsi" w:cs="Arial"/>
          <w:sz w:val="22"/>
          <w:szCs w:val="22"/>
          <w:lang w:val="es-PE"/>
        </w:rPr>
        <w:t xml:space="preserve">dinamizar y </w:t>
      </w:r>
      <w:r w:rsidR="00F55465" w:rsidRPr="00883E07">
        <w:rPr>
          <w:rFonts w:asciiTheme="majorHAnsi" w:eastAsia="MS Mincho" w:hAnsiTheme="majorHAnsi" w:cs="Arial"/>
          <w:sz w:val="22"/>
          <w:szCs w:val="22"/>
          <w:lang w:val="es-PE"/>
        </w:rPr>
        <w:t xml:space="preserve">mejorar el ordenamiento y fomento de la acuicultura, en sus diversas fases productivas en aguas marinas, aguas continentales o utilizando aguas salobres y </w:t>
      </w:r>
      <w:r w:rsidR="00F55465" w:rsidRPr="007241A9">
        <w:rPr>
          <w:rFonts w:asciiTheme="majorHAnsi" w:eastAsia="MS Mincho" w:hAnsiTheme="majorHAnsi" w:cs="Arial"/>
          <w:sz w:val="22"/>
          <w:szCs w:val="22"/>
          <w:u w:val="single"/>
          <w:lang w:val="es-PE"/>
        </w:rPr>
        <w:t>busca fortalecer los aspectos relativos a la ciencia y desarrollo tecnológico</w:t>
      </w:r>
      <w:r w:rsidR="007241A9">
        <w:rPr>
          <w:rFonts w:asciiTheme="majorHAnsi" w:eastAsia="MS Mincho" w:hAnsiTheme="majorHAnsi" w:cs="Arial"/>
          <w:sz w:val="22"/>
          <w:szCs w:val="22"/>
          <w:u w:val="single"/>
          <w:lang w:val="es-PE"/>
        </w:rPr>
        <w:t xml:space="preserve"> (básico para un crecimiento sostenido)</w:t>
      </w:r>
      <w:r w:rsidR="00F55465" w:rsidRPr="00883E07">
        <w:rPr>
          <w:rFonts w:asciiTheme="majorHAnsi" w:eastAsia="MS Mincho" w:hAnsiTheme="majorHAnsi" w:cs="Arial"/>
          <w:sz w:val="22"/>
          <w:szCs w:val="22"/>
          <w:lang w:val="es-PE"/>
        </w:rPr>
        <w:t>, la formalización de MYPES y desarrollo de capacidades, fortalecer la articulación con los Gobiernos Regionales, incentivar la inversión privada y mejorar la competitividad de las MYPES y la gran empresas en la acuicultura a través de medidas de promoción a favor de la actividad:</w:t>
      </w:r>
    </w:p>
    <w:p w:rsidR="005E585A" w:rsidRPr="00883E07" w:rsidRDefault="005E585A" w:rsidP="00EC0DF9">
      <w:pPr>
        <w:jc w:val="both"/>
        <w:rPr>
          <w:rFonts w:asciiTheme="majorHAnsi" w:eastAsia="MS Mincho" w:hAnsiTheme="majorHAnsi" w:cs="Arial"/>
          <w:sz w:val="22"/>
          <w:szCs w:val="22"/>
          <w:lang w:val="es-PE"/>
        </w:rPr>
      </w:pPr>
    </w:p>
    <w:p w:rsidR="005E585A" w:rsidRPr="005A45BA" w:rsidRDefault="005E585A" w:rsidP="00EC0DF9">
      <w:pPr>
        <w:jc w:val="both"/>
        <w:rPr>
          <w:rFonts w:asciiTheme="majorHAnsi" w:eastAsia="MS Mincho" w:hAnsiTheme="majorHAnsi" w:cs="Arial"/>
          <w:sz w:val="22"/>
          <w:szCs w:val="22"/>
          <w:highlight w:val="yellow"/>
        </w:rPr>
      </w:pPr>
      <w:r w:rsidRPr="005A45BA">
        <w:rPr>
          <w:rFonts w:asciiTheme="majorHAnsi" w:hAnsiTheme="majorHAnsi" w:cs="Arial"/>
          <w:sz w:val="22"/>
          <w:szCs w:val="22"/>
          <w:highlight w:val="yellow"/>
        </w:rPr>
        <w:t>Con el proyecto, la legislación en acuicultura abordaría y mejoraría los siguientes aspectos:</w:t>
      </w:r>
    </w:p>
    <w:p w:rsidR="00F55465" w:rsidRPr="005A45BA" w:rsidRDefault="00F55465" w:rsidP="00EC0DF9">
      <w:pPr>
        <w:jc w:val="both"/>
        <w:rPr>
          <w:rFonts w:asciiTheme="majorHAnsi" w:eastAsia="MS Mincho" w:hAnsiTheme="majorHAnsi" w:cs="Arial"/>
          <w:sz w:val="22"/>
          <w:szCs w:val="22"/>
          <w:highlight w:val="yellow"/>
        </w:rPr>
      </w:pPr>
    </w:p>
    <w:p w:rsidR="005E585A"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Clasifica la acuicultura en Acuicultura de Recursos Limitados (AREL), Acuicultura de micro y pequeña empresa (AMYPE), Acuicultura de mediana y gran empresa (AMYGE), permitiendo fortalecer el ordenamiento acuícola, apoya la gestión empresarial en la acuicultura y contribuye con la conformación de MYPES  de acuicultura</w:t>
      </w:r>
    </w:p>
    <w:p w:rsidR="005E585A"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Permite la publicidad registral de las concesiones acuícolas. Favoreciendo  los aspectos crediticos en la acuicultura</w:t>
      </w:r>
    </w:p>
    <w:p w:rsidR="005E585A"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Establece la prioridad del uso del agua frente a otras actividades productivas, al no ser consuntivo, esto contribuye con el desarrollo de la actividad y su facilitación administrativa</w:t>
      </w:r>
    </w:p>
    <w:p w:rsidR="00EF65A5" w:rsidRPr="007509C2" w:rsidRDefault="00EF65A5"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Exonera de pago de trámites a los AREL y autorizaciones para investigación</w:t>
      </w:r>
    </w:p>
    <w:p w:rsidR="00EF65A5" w:rsidRPr="007509C2" w:rsidRDefault="00567BC1"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C</w:t>
      </w:r>
      <w:r w:rsidR="00EF65A5" w:rsidRPr="007509C2">
        <w:rPr>
          <w:rFonts w:asciiTheme="majorHAnsi" w:eastAsia="MS Mincho" w:hAnsiTheme="majorHAnsi" w:cs="Arial"/>
        </w:rPr>
        <w:t>rear el Instituto Nacional de Acuicultura el cual estará a cargo de la implementación de los programas y proyectos de investigación, desarrollo tecnológico e innovación en acuicultura, como soporte que brinda el estado para el crecimiento y desarrollo competitivo de la acuicultura.</w:t>
      </w:r>
    </w:p>
    <w:p w:rsidR="005E585A"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 xml:space="preserve">Impulsa la Investigación, Desarrollo Tecnológico e Innovación en Acuicultura haciéndose cargo del Fondo de Investigación Acuícola creado por la Ley Nº 27460 y crea el Instituto Nacional de Acuicultura abocado de manera exclusiva al </w:t>
      </w:r>
      <w:proofErr w:type="spellStart"/>
      <w:r w:rsidRPr="007509C2">
        <w:rPr>
          <w:rFonts w:asciiTheme="majorHAnsi" w:eastAsia="MS Mincho" w:hAnsiTheme="majorHAnsi" w:cs="Arial"/>
        </w:rPr>
        <w:t>I+DT+i</w:t>
      </w:r>
      <w:proofErr w:type="spellEnd"/>
      <w:r w:rsidRPr="007509C2">
        <w:rPr>
          <w:rFonts w:asciiTheme="majorHAnsi" w:eastAsia="MS Mincho" w:hAnsiTheme="majorHAnsi" w:cs="Arial"/>
        </w:rPr>
        <w:t xml:space="preserve"> en acuicultura.</w:t>
      </w:r>
    </w:p>
    <w:p w:rsidR="005E585A"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Facilita el desarrollo de investigaciones acuícolas en un 10% del área de concesiones y autorizaciones otorgadas</w:t>
      </w:r>
    </w:p>
    <w:p w:rsidR="005E585A"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Establece los beneficios tributarios respectivos sobre la actividad de acuicultura y sus productos (15% IR, retorno anticipado del IGV, exoneración del pago por acuicultura)</w:t>
      </w:r>
    </w:p>
    <w:p w:rsidR="005E585A"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Exonera de pago de trámites a los AREL y autorizaciones para investigación</w:t>
      </w:r>
    </w:p>
    <w:p w:rsidR="005E585A"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lastRenderedPageBreak/>
        <w:t>Se establece el otorgamiento de certificaciones sanitarias y de calidad para el alimento balanceado para la acuicultura, esto asegura que los mismos cumplan con las normas sanitarias respectivas</w:t>
      </w:r>
    </w:p>
    <w:p w:rsidR="005E585A"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Impulsa los aspectos relativos al aporte en responsabilidad social por parte de la actividad de acuicultura</w:t>
      </w:r>
    </w:p>
    <w:p w:rsidR="00EF65A5" w:rsidRPr="007509C2" w:rsidRDefault="00EF65A5"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 xml:space="preserve">Crea el Consejo Nacional de Acuicultura como un órgano consultivo y de coordinación del </w:t>
      </w:r>
      <w:r w:rsidR="00202074" w:rsidRPr="007509C2">
        <w:rPr>
          <w:rFonts w:asciiTheme="majorHAnsi" w:eastAsia="MS Mincho" w:hAnsiTheme="majorHAnsi" w:cs="Arial"/>
        </w:rPr>
        <w:t>Viceministerio de Acuicultura</w:t>
      </w:r>
      <w:r w:rsidRPr="007509C2">
        <w:rPr>
          <w:rFonts w:asciiTheme="majorHAnsi" w:eastAsia="MS Mincho" w:hAnsiTheme="majorHAnsi" w:cs="Arial"/>
        </w:rPr>
        <w:t xml:space="preserve"> para el desarrollo sostenible de la acuicultura.</w:t>
      </w:r>
    </w:p>
    <w:p w:rsidR="005E585A"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 xml:space="preserve">Crea los Consejos Regionales de Acuicultura como órganos consultivos y de coordinación de los Gobiernos Regionales con el </w:t>
      </w:r>
      <w:r w:rsidR="00202074" w:rsidRPr="007509C2">
        <w:rPr>
          <w:rFonts w:asciiTheme="majorHAnsi" w:eastAsia="MS Mincho" w:hAnsiTheme="majorHAnsi" w:cs="Arial"/>
        </w:rPr>
        <w:t>Viceministerio de Acuicultura</w:t>
      </w:r>
      <w:r w:rsidRPr="007509C2">
        <w:rPr>
          <w:rFonts w:asciiTheme="majorHAnsi" w:eastAsia="MS Mincho" w:hAnsiTheme="majorHAnsi" w:cs="Arial"/>
        </w:rPr>
        <w:t xml:space="preserve">, para el desarrollo sostenible de la acuicultura. </w:t>
      </w:r>
    </w:p>
    <w:p w:rsidR="00EF65A5" w:rsidRPr="007509C2" w:rsidRDefault="00EF65A5"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Impulsa</w:t>
      </w:r>
      <w:r w:rsidR="00202074" w:rsidRPr="007509C2">
        <w:rPr>
          <w:rFonts w:asciiTheme="majorHAnsi" w:eastAsia="MS Mincho" w:hAnsiTheme="majorHAnsi" w:cs="Arial"/>
        </w:rPr>
        <w:t xml:space="preserve"> y crear el </w:t>
      </w:r>
      <w:r w:rsidRPr="007509C2">
        <w:rPr>
          <w:rFonts w:asciiTheme="majorHAnsi" w:eastAsia="MS Mincho" w:hAnsiTheme="majorHAnsi" w:cs="Arial"/>
          <w:b/>
          <w:u w:val="single"/>
        </w:rPr>
        <w:t xml:space="preserve">programa de </w:t>
      </w:r>
      <w:proofErr w:type="spellStart"/>
      <w:r w:rsidRPr="007509C2">
        <w:rPr>
          <w:rFonts w:asciiTheme="majorHAnsi" w:eastAsia="MS Mincho" w:hAnsiTheme="majorHAnsi" w:cs="Arial"/>
          <w:b/>
          <w:u w:val="single"/>
        </w:rPr>
        <w:t>extensionismo</w:t>
      </w:r>
      <w:proofErr w:type="spellEnd"/>
      <w:r w:rsidRPr="007509C2">
        <w:rPr>
          <w:rFonts w:asciiTheme="majorHAnsi" w:eastAsia="MS Mincho" w:hAnsiTheme="majorHAnsi" w:cs="Arial"/>
          <w:b/>
          <w:u w:val="single"/>
        </w:rPr>
        <w:t xml:space="preserve"> acuícola</w:t>
      </w:r>
      <w:r w:rsidR="00110160" w:rsidRPr="007509C2">
        <w:rPr>
          <w:rFonts w:asciiTheme="majorHAnsi" w:eastAsia="MS Mincho" w:hAnsiTheme="majorHAnsi" w:cs="Arial"/>
          <w:b/>
          <w:u w:val="single"/>
        </w:rPr>
        <w:t xml:space="preserve"> permanente</w:t>
      </w:r>
      <w:r w:rsidRPr="007509C2">
        <w:rPr>
          <w:rFonts w:asciiTheme="majorHAnsi" w:eastAsia="MS Mincho" w:hAnsiTheme="majorHAnsi" w:cs="Arial"/>
        </w:rPr>
        <w:t xml:space="preserve"> </w:t>
      </w:r>
      <w:r w:rsidR="005A45BA" w:rsidRPr="007509C2">
        <w:rPr>
          <w:rFonts w:asciiTheme="majorHAnsi" w:eastAsia="MS Mincho" w:hAnsiTheme="majorHAnsi" w:cs="Arial"/>
        </w:rPr>
        <w:t xml:space="preserve">por los Gobiernos Regionales, </w:t>
      </w:r>
      <w:r w:rsidRPr="007509C2">
        <w:rPr>
          <w:rFonts w:asciiTheme="majorHAnsi" w:eastAsia="MS Mincho" w:hAnsiTheme="majorHAnsi" w:cs="Arial"/>
        </w:rPr>
        <w:t>como un modelo educativo personalizado dirigido a los acuicultores</w:t>
      </w:r>
      <w:r w:rsidR="00110160" w:rsidRPr="007509C2">
        <w:rPr>
          <w:rFonts w:asciiTheme="majorHAnsi" w:eastAsia="MS Mincho" w:hAnsiTheme="majorHAnsi" w:cs="Arial"/>
        </w:rPr>
        <w:t>; evaluado y con apoyo técnico de Viceministerio de Acuicultura</w:t>
      </w:r>
      <w:r w:rsidRPr="007509C2">
        <w:rPr>
          <w:rFonts w:asciiTheme="majorHAnsi" w:eastAsia="MS Mincho" w:hAnsiTheme="majorHAnsi" w:cs="Arial"/>
        </w:rPr>
        <w:t>.</w:t>
      </w:r>
    </w:p>
    <w:p w:rsidR="00783AE2" w:rsidRPr="007509C2" w:rsidRDefault="00783AE2"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 xml:space="preserve">Impulsa y crear el </w:t>
      </w:r>
      <w:r w:rsidRPr="007509C2">
        <w:rPr>
          <w:rFonts w:asciiTheme="majorHAnsi" w:eastAsia="MS Mincho" w:hAnsiTheme="majorHAnsi" w:cs="Arial"/>
          <w:b/>
          <w:u w:val="single"/>
        </w:rPr>
        <w:t>programa de repoblamiento acuícola</w:t>
      </w:r>
      <w:r w:rsidR="00110160" w:rsidRPr="007509C2">
        <w:rPr>
          <w:rFonts w:asciiTheme="majorHAnsi" w:eastAsia="MS Mincho" w:hAnsiTheme="majorHAnsi" w:cs="Arial"/>
          <w:b/>
          <w:u w:val="single"/>
        </w:rPr>
        <w:t xml:space="preserve"> permanente </w:t>
      </w:r>
      <w:r w:rsidRPr="007509C2">
        <w:rPr>
          <w:rFonts w:asciiTheme="majorHAnsi" w:eastAsia="MS Mincho" w:hAnsiTheme="majorHAnsi" w:cs="Arial"/>
        </w:rPr>
        <w:t xml:space="preserve"> </w:t>
      </w:r>
      <w:r w:rsidR="005A45BA" w:rsidRPr="007509C2">
        <w:rPr>
          <w:rFonts w:asciiTheme="majorHAnsi" w:eastAsia="MS Mincho" w:hAnsiTheme="majorHAnsi" w:cs="Arial"/>
        </w:rPr>
        <w:t xml:space="preserve">por los Gobiernos Regionales, </w:t>
      </w:r>
      <w:r w:rsidR="009563A1" w:rsidRPr="007509C2">
        <w:rPr>
          <w:rFonts w:asciiTheme="majorHAnsi" w:hAnsiTheme="majorHAnsi" w:cs="Arial"/>
        </w:rPr>
        <w:t>contribuir al crecimiento de la economía nacional, generando empleo e ingresos, mejorando la seguridad alimentaria de segmentos vulnerables de la población</w:t>
      </w:r>
      <w:r w:rsidR="00110160" w:rsidRPr="007509C2">
        <w:rPr>
          <w:rFonts w:asciiTheme="majorHAnsi" w:hAnsiTheme="majorHAnsi" w:cs="Arial"/>
        </w:rPr>
        <w:t>;</w:t>
      </w:r>
      <w:r w:rsidR="00110160" w:rsidRPr="007509C2">
        <w:rPr>
          <w:rFonts w:asciiTheme="majorHAnsi" w:eastAsia="MS Mincho" w:hAnsiTheme="majorHAnsi" w:cs="Arial"/>
        </w:rPr>
        <w:t xml:space="preserve"> evaluado y con apoyo técnico de Viceministerio de Acuicultura</w:t>
      </w:r>
      <w:r w:rsidR="00110160" w:rsidRPr="007509C2">
        <w:rPr>
          <w:rFonts w:asciiTheme="majorHAnsi" w:hAnsiTheme="majorHAnsi" w:cs="Arial"/>
        </w:rPr>
        <w:t xml:space="preserve"> </w:t>
      </w:r>
    </w:p>
    <w:p w:rsidR="0067613F"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Impulsa la facilitación administrativa a través de la Ventanilla Única de Acuicultura</w:t>
      </w:r>
    </w:p>
    <w:p w:rsidR="005E585A" w:rsidRPr="007509C2" w:rsidRDefault="0067613F"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Proponerla creación del Ministerio de Pesca y de Acuicultura</w:t>
      </w:r>
      <w:r w:rsidR="005E585A" w:rsidRPr="007509C2">
        <w:rPr>
          <w:rFonts w:asciiTheme="majorHAnsi" w:eastAsia="MS Mincho" w:hAnsiTheme="majorHAnsi" w:cs="Arial"/>
        </w:rPr>
        <w:t>.</w:t>
      </w:r>
    </w:p>
    <w:p w:rsidR="00F55465" w:rsidRPr="007509C2" w:rsidRDefault="005E585A" w:rsidP="00EF65A5">
      <w:pPr>
        <w:pStyle w:val="Prrafodelista"/>
        <w:numPr>
          <w:ilvl w:val="0"/>
          <w:numId w:val="20"/>
        </w:numPr>
        <w:ind w:left="426" w:hanging="426"/>
        <w:jc w:val="both"/>
        <w:rPr>
          <w:rFonts w:asciiTheme="majorHAnsi" w:eastAsia="MS Mincho" w:hAnsiTheme="majorHAnsi" w:cs="Arial"/>
        </w:rPr>
      </w:pPr>
      <w:r w:rsidRPr="007509C2">
        <w:rPr>
          <w:rFonts w:asciiTheme="majorHAnsi" w:eastAsia="MS Mincho" w:hAnsiTheme="majorHAnsi" w:cs="Arial"/>
        </w:rPr>
        <w:t xml:space="preserve">Propone el cambio </w:t>
      </w:r>
      <w:r w:rsidR="0067613F" w:rsidRPr="007509C2">
        <w:rPr>
          <w:rFonts w:asciiTheme="majorHAnsi" w:eastAsia="MS Mincho" w:hAnsiTheme="majorHAnsi" w:cs="Arial"/>
        </w:rPr>
        <w:t>a</w:t>
      </w:r>
      <w:r w:rsidR="009563A1" w:rsidRPr="007509C2">
        <w:rPr>
          <w:rFonts w:asciiTheme="majorHAnsi" w:eastAsia="MS Mincho" w:hAnsiTheme="majorHAnsi" w:cs="Arial"/>
        </w:rPr>
        <w:t xml:space="preserve"> </w:t>
      </w:r>
      <w:r w:rsidR="00202074" w:rsidRPr="007509C2">
        <w:rPr>
          <w:rFonts w:asciiTheme="majorHAnsi" w:eastAsia="MS Mincho" w:hAnsiTheme="majorHAnsi" w:cs="Arial"/>
        </w:rPr>
        <w:t xml:space="preserve">dos (02) </w:t>
      </w:r>
      <w:r w:rsidRPr="007509C2">
        <w:rPr>
          <w:rFonts w:asciiTheme="majorHAnsi" w:eastAsia="MS Mincho" w:hAnsiTheme="majorHAnsi" w:cs="Arial"/>
        </w:rPr>
        <w:t xml:space="preserve"> </w:t>
      </w:r>
      <w:r w:rsidRPr="007509C2">
        <w:rPr>
          <w:rFonts w:asciiTheme="majorHAnsi" w:eastAsia="MS Mincho" w:hAnsiTheme="majorHAnsi" w:cs="Arial"/>
          <w:b/>
          <w:u w:val="single"/>
        </w:rPr>
        <w:t>Viceministerio de Pesca</w:t>
      </w:r>
      <w:r w:rsidR="009563A1" w:rsidRPr="007509C2">
        <w:rPr>
          <w:rFonts w:asciiTheme="majorHAnsi" w:eastAsia="MS Mincho" w:hAnsiTheme="majorHAnsi" w:cs="Arial"/>
          <w:b/>
          <w:u w:val="single"/>
        </w:rPr>
        <w:t>,</w:t>
      </w:r>
      <w:r w:rsidRPr="007509C2">
        <w:rPr>
          <w:rFonts w:asciiTheme="majorHAnsi" w:eastAsia="MS Mincho" w:hAnsiTheme="majorHAnsi" w:cs="Arial"/>
          <w:b/>
          <w:u w:val="single"/>
        </w:rPr>
        <w:t xml:space="preserve"> y </w:t>
      </w:r>
      <w:r w:rsidR="00BF0D31" w:rsidRPr="007509C2">
        <w:rPr>
          <w:rFonts w:asciiTheme="majorHAnsi" w:eastAsia="MS Mincho" w:hAnsiTheme="majorHAnsi" w:cs="Arial"/>
          <w:b/>
          <w:u w:val="single"/>
        </w:rPr>
        <w:t xml:space="preserve">Viceministerio </w:t>
      </w:r>
      <w:r w:rsidR="00EF65A5" w:rsidRPr="007509C2">
        <w:rPr>
          <w:rFonts w:asciiTheme="majorHAnsi" w:eastAsia="MS Mincho" w:hAnsiTheme="majorHAnsi" w:cs="Arial"/>
          <w:b/>
          <w:u w:val="single"/>
        </w:rPr>
        <w:t xml:space="preserve">de </w:t>
      </w:r>
      <w:r w:rsidRPr="007509C2">
        <w:rPr>
          <w:rFonts w:asciiTheme="majorHAnsi" w:eastAsia="MS Mincho" w:hAnsiTheme="majorHAnsi" w:cs="Arial"/>
          <w:b/>
          <w:u w:val="single"/>
        </w:rPr>
        <w:t>Acuicultura</w:t>
      </w:r>
      <w:r w:rsidR="00EF65A5" w:rsidRPr="007509C2">
        <w:rPr>
          <w:rFonts w:asciiTheme="majorHAnsi" w:eastAsia="MS Mincho" w:hAnsiTheme="majorHAnsi" w:cs="Arial"/>
        </w:rPr>
        <w:t xml:space="preserve"> y su adecuación orgánica</w:t>
      </w:r>
    </w:p>
    <w:p w:rsidR="00F55465" w:rsidRPr="00883E07" w:rsidRDefault="00F55465" w:rsidP="00EC0DF9">
      <w:pPr>
        <w:jc w:val="both"/>
        <w:rPr>
          <w:rFonts w:asciiTheme="majorHAnsi" w:eastAsia="MS Mincho" w:hAnsiTheme="majorHAnsi" w:cs="Arial"/>
          <w:sz w:val="22"/>
          <w:szCs w:val="22"/>
        </w:rPr>
      </w:pPr>
    </w:p>
    <w:p w:rsidR="00F55465" w:rsidRDefault="00F55465" w:rsidP="00EC0DF9">
      <w:pPr>
        <w:jc w:val="both"/>
        <w:rPr>
          <w:rFonts w:asciiTheme="majorHAnsi" w:eastAsia="MS Mincho" w:hAnsiTheme="majorHAnsi" w:cs="Arial"/>
          <w:sz w:val="22"/>
          <w:szCs w:val="22"/>
        </w:rPr>
      </w:pPr>
    </w:p>
    <w:p w:rsidR="00BF0D31" w:rsidRDefault="00BF0D31" w:rsidP="00EC0DF9">
      <w:pPr>
        <w:jc w:val="both"/>
        <w:rPr>
          <w:rFonts w:asciiTheme="majorHAnsi" w:eastAsia="MS Mincho" w:hAnsiTheme="majorHAnsi" w:cs="Arial"/>
          <w:sz w:val="22"/>
          <w:szCs w:val="22"/>
        </w:rPr>
      </w:pPr>
    </w:p>
    <w:p w:rsidR="00BF0D31" w:rsidRPr="00883E07" w:rsidRDefault="00BF0D31" w:rsidP="00EC0DF9">
      <w:pPr>
        <w:jc w:val="both"/>
        <w:rPr>
          <w:rFonts w:asciiTheme="majorHAnsi" w:eastAsia="MS Mincho" w:hAnsiTheme="majorHAnsi" w:cs="Arial"/>
          <w:sz w:val="22"/>
          <w:szCs w:val="22"/>
        </w:rPr>
      </w:pPr>
    </w:p>
    <w:p w:rsidR="00645C07" w:rsidRPr="00883E07" w:rsidRDefault="00422FF9" w:rsidP="00DB43D6">
      <w:pPr>
        <w:pStyle w:val="Prrafodelista"/>
        <w:numPr>
          <w:ilvl w:val="1"/>
          <w:numId w:val="3"/>
        </w:numPr>
        <w:ind w:left="709" w:hanging="709"/>
        <w:jc w:val="both"/>
        <w:rPr>
          <w:rFonts w:asciiTheme="majorHAnsi" w:hAnsiTheme="majorHAnsi" w:cs="Arial"/>
          <w:b/>
        </w:rPr>
      </w:pPr>
      <w:r w:rsidRPr="00883E07">
        <w:rPr>
          <w:rFonts w:asciiTheme="majorHAnsi" w:hAnsiTheme="majorHAnsi" w:cs="Arial"/>
          <w:b/>
        </w:rPr>
        <w:t>FUNDAMENTO</w:t>
      </w:r>
    </w:p>
    <w:p w:rsidR="00422FF9" w:rsidRDefault="00422FF9" w:rsidP="00645C07">
      <w:pPr>
        <w:jc w:val="both"/>
        <w:rPr>
          <w:rFonts w:asciiTheme="majorHAnsi" w:hAnsiTheme="majorHAnsi" w:cs="Arial"/>
          <w:sz w:val="22"/>
          <w:szCs w:val="22"/>
        </w:rPr>
      </w:pPr>
      <w:bookmarkStart w:id="1" w:name="OLE_LINK13"/>
      <w:bookmarkStart w:id="2" w:name="OLE_LINK14"/>
    </w:p>
    <w:p w:rsidR="00BF0D31" w:rsidRDefault="00BF0D31" w:rsidP="00645C07">
      <w:pPr>
        <w:jc w:val="both"/>
        <w:rPr>
          <w:rFonts w:asciiTheme="majorHAnsi" w:hAnsiTheme="majorHAnsi" w:cs="Arial"/>
          <w:sz w:val="22"/>
          <w:szCs w:val="22"/>
        </w:rPr>
      </w:pPr>
    </w:p>
    <w:p w:rsidR="00BF0D31" w:rsidRPr="00883E07" w:rsidRDefault="00BF0D31" w:rsidP="00645C07">
      <w:pPr>
        <w:jc w:val="both"/>
        <w:rPr>
          <w:rFonts w:asciiTheme="majorHAnsi" w:hAnsiTheme="majorHAnsi" w:cs="Arial"/>
          <w:sz w:val="22"/>
          <w:szCs w:val="22"/>
        </w:rPr>
      </w:pPr>
    </w:p>
    <w:p w:rsidR="00DF00AA" w:rsidRPr="00883E07" w:rsidRDefault="00DF00AA" w:rsidP="00645C07">
      <w:pPr>
        <w:jc w:val="both"/>
        <w:rPr>
          <w:rFonts w:asciiTheme="majorHAnsi" w:hAnsiTheme="majorHAnsi" w:cs="Arial"/>
          <w:b/>
          <w:sz w:val="22"/>
          <w:szCs w:val="22"/>
          <w:u w:val="single"/>
        </w:rPr>
      </w:pPr>
      <w:r w:rsidRPr="00883E07">
        <w:rPr>
          <w:rFonts w:asciiTheme="majorHAnsi" w:hAnsiTheme="majorHAnsi" w:cs="Arial"/>
          <w:b/>
          <w:sz w:val="22"/>
          <w:szCs w:val="22"/>
          <w:u w:val="single"/>
        </w:rPr>
        <w:t>Importancia de la Acuicultura a nivel mundial</w:t>
      </w:r>
    </w:p>
    <w:p w:rsidR="00DF00AA" w:rsidRPr="00883E07" w:rsidRDefault="00DF00AA" w:rsidP="00645C07">
      <w:pPr>
        <w:jc w:val="both"/>
        <w:rPr>
          <w:rFonts w:asciiTheme="majorHAnsi" w:hAnsiTheme="majorHAnsi" w:cs="Arial"/>
          <w:sz w:val="22"/>
          <w:szCs w:val="22"/>
        </w:rPr>
      </w:pPr>
    </w:p>
    <w:p w:rsidR="00DF00AA" w:rsidRPr="00883E07" w:rsidRDefault="00DF00AA" w:rsidP="00DF00AA">
      <w:pPr>
        <w:widowControl w:val="0"/>
        <w:jc w:val="both"/>
        <w:rPr>
          <w:rFonts w:asciiTheme="majorHAnsi" w:hAnsiTheme="majorHAnsi" w:cs="Arial"/>
          <w:sz w:val="22"/>
          <w:szCs w:val="22"/>
        </w:rPr>
      </w:pPr>
      <w:r w:rsidRPr="00883E07">
        <w:rPr>
          <w:rFonts w:asciiTheme="majorHAnsi" w:hAnsiTheme="majorHAnsi" w:cs="Arial"/>
          <w:sz w:val="22"/>
          <w:szCs w:val="22"/>
        </w:rPr>
        <w:t>La acuicultura tiene gran importancia mundial y muchos países le han dedicado extraordinaria atención, pues viene convirtiéndose en una de las principales fuentes de proteína para el consumo humano, generador de recursos económicos,  fuentes de trabajo, divisas por exportación, así como también por fomentar actividades colaterales; entre las que figuran: favorecer la ampliación de la frontera agrícola a través del re-uso del agua y  mediante la diversificación de la producción, es el caso de la selva donde productos acuícolas pueden ser utilizados como materia prima en la fabricación de alimento balanceado. Así mismo favorece la diversificación de la industria metálica, construcción de jaulas flotantes para ser utilizadas en cultivos de peces en lagos o lagunas de la sierra. Otras industrias colaterales que son favorecidas son las fábricas de hilos, cabos y mallas de pesca; las de procesamiento de especies hidrobiológicas frescas y de ahumado y conservas.</w:t>
      </w:r>
    </w:p>
    <w:p w:rsidR="00DF00AA" w:rsidRPr="00883E07" w:rsidRDefault="00DF00AA" w:rsidP="00DF00AA">
      <w:pPr>
        <w:widowControl w:val="0"/>
        <w:jc w:val="both"/>
        <w:rPr>
          <w:rFonts w:asciiTheme="majorHAnsi" w:hAnsiTheme="majorHAnsi" w:cs="Arial"/>
          <w:sz w:val="22"/>
          <w:szCs w:val="22"/>
        </w:rPr>
      </w:pPr>
    </w:p>
    <w:p w:rsidR="00DF00AA" w:rsidRPr="00883E07" w:rsidRDefault="00DF00AA" w:rsidP="00DF00AA">
      <w:pPr>
        <w:jc w:val="both"/>
        <w:rPr>
          <w:rFonts w:asciiTheme="majorHAnsi" w:hAnsiTheme="majorHAnsi" w:cs="Arial"/>
          <w:sz w:val="22"/>
          <w:szCs w:val="22"/>
          <w:lang w:val="es-PE" w:eastAsia="es-PE"/>
        </w:rPr>
      </w:pPr>
      <w:r w:rsidRPr="00883E07">
        <w:rPr>
          <w:rFonts w:asciiTheme="majorHAnsi" w:hAnsiTheme="majorHAnsi" w:cs="Arial"/>
          <w:sz w:val="22"/>
          <w:szCs w:val="22"/>
          <w:lang w:val="es-PE" w:eastAsia="es-PE"/>
        </w:rPr>
        <w:t xml:space="preserve">Por su importancia en el suministro de alimentos e ingresos, la acuicultura está posicionada entre uno de los principales contribuyentes a la seguridad alimentaria; pues después del arroz, los productos forestales, la leche y el trigo, los peces son el quinto producto más importante y el mayor recurso de proteína animal disponible para los humanos. El pescado tiene un excelente valor nutritivo, es fácil de digerir y de alto valor biológico; proporciona proteínas, ácidos grasos y una amplia variedad de vitaminas y minerales. </w:t>
      </w:r>
    </w:p>
    <w:p w:rsidR="00DF00AA" w:rsidRPr="00883E07" w:rsidRDefault="00DF00AA" w:rsidP="00DF00AA">
      <w:pPr>
        <w:jc w:val="both"/>
        <w:rPr>
          <w:rFonts w:asciiTheme="majorHAnsi" w:hAnsiTheme="majorHAnsi" w:cs="Arial"/>
          <w:sz w:val="22"/>
          <w:szCs w:val="22"/>
          <w:lang w:val="es-PE" w:eastAsia="es-PE"/>
        </w:rPr>
      </w:pPr>
    </w:p>
    <w:p w:rsidR="00DF00AA" w:rsidRPr="00883E07" w:rsidRDefault="00DF00AA" w:rsidP="00DF00AA">
      <w:pPr>
        <w:jc w:val="both"/>
        <w:rPr>
          <w:rFonts w:asciiTheme="majorHAnsi" w:hAnsiTheme="majorHAnsi" w:cs="Arial"/>
          <w:sz w:val="22"/>
          <w:szCs w:val="22"/>
        </w:rPr>
      </w:pPr>
      <w:r w:rsidRPr="00883E07">
        <w:rPr>
          <w:rFonts w:asciiTheme="majorHAnsi" w:hAnsiTheme="majorHAnsi" w:cs="Arial"/>
          <w:sz w:val="22"/>
          <w:szCs w:val="22"/>
        </w:rPr>
        <w:t xml:space="preserve">La acuicultura mundial se ha incrementado drásticamente en los últimos 50 años. Desde una producción de menos de un millón de toneladas a comienzos de la década de 1950, al </w:t>
      </w:r>
      <w:r w:rsidRPr="00883E07">
        <w:rPr>
          <w:rFonts w:asciiTheme="majorHAnsi" w:hAnsiTheme="majorHAnsi" w:cs="Arial"/>
          <w:sz w:val="22"/>
          <w:szCs w:val="22"/>
        </w:rPr>
        <w:lastRenderedPageBreak/>
        <w:t xml:space="preserve">2011, donde se registró una producción de </w:t>
      </w:r>
      <w:r w:rsidR="00EE3E0F" w:rsidRPr="00883E07">
        <w:rPr>
          <w:rFonts w:asciiTheme="majorHAnsi" w:hAnsiTheme="majorHAnsi" w:cs="Arial"/>
          <w:sz w:val="22"/>
          <w:szCs w:val="22"/>
        </w:rPr>
        <w:t>65</w:t>
      </w:r>
      <w:r w:rsidRPr="00883E07">
        <w:rPr>
          <w:rFonts w:asciiTheme="majorHAnsi" w:hAnsiTheme="majorHAnsi" w:cs="Arial"/>
          <w:sz w:val="22"/>
          <w:szCs w:val="22"/>
        </w:rPr>
        <w:t>,7</w:t>
      </w:r>
      <w:r w:rsidR="00EE3E0F" w:rsidRPr="00883E07">
        <w:rPr>
          <w:rFonts w:asciiTheme="majorHAnsi" w:hAnsiTheme="majorHAnsi" w:cs="Arial"/>
          <w:sz w:val="22"/>
          <w:szCs w:val="22"/>
        </w:rPr>
        <w:t>1</w:t>
      </w:r>
      <w:r w:rsidRPr="00883E07">
        <w:rPr>
          <w:rFonts w:asciiTheme="majorHAnsi" w:hAnsiTheme="majorHAnsi" w:cs="Arial"/>
          <w:sz w:val="22"/>
          <w:szCs w:val="22"/>
        </w:rPr>
        <w:t xml:space="preserve"> millones de toneladas con un valor de </w:t>
      </w:r>
      <w:r w:rsidR="00EE3E0F" w:rsidRPr="00883E07">
        <w:rPr>
          <w:rFonts w:asciiTheme="majorHAnsi" w:hAnsiTheme="majorHAnsi" w:cs="Arial"/>
          <w:sz w:val="22"/>
          <w:szCs w:val="22"/>
        </w:rPr>
        <w:t xml:space="preserve">poco más de 131 720 </w:t>
      </w:r>
      <w:r w:rsidRPr="00883E07">
        <w:rPr>
          <w:rFonts w:asciiTheme="majorHAnsi" w:hAnsiTheme="majorHAnsi" w:cs="Arial"/>
          <w:sz w:val="22"/>
          <w:szCs w:val="22"/>
        </w:rPr>
        <w:t>millones de USD, sin incluir las plantas acuáticas (algas). Esto significa que la acuicultura sigue creciendo a un ritmo mayor que otros sectores de productos de origen animal. Mientras la producción de la pesca de captura (extracción) se estabilizó a mediados de la década de 1980, el sector acuícola ha mantenido una tasa de crecimiento medio anual del 8,7 % en todo el mundo (excluyendo a China, con un 6,5 %) desde 1970. Las tasas de crecimiento anual de la producción acuícola mundial entre 2004 y 20</w:t>
      </w:r>
      <w:r w:rsidR="00EE3E0F" w:rsidRPr="00883E07">
        <w:rPr>
          <w:rFonts w:asciiTheme="majorHAnsi" w:hAnsiTheme="majorHAnsi" w:cs="Arial"/>
          <w:sz w:val="22"/>
          <w:szCs w:val="22"/>
        </w:rPr>
        <w:t>11</w:t>
      </w:r>
      <w:r w:rsidRPr="00883E07">
        <w:rPr>
          <w:rFonts w:asciiTheme="majorHAnsi" w:hAnsiTheme="majorHAnsi" w:cs="Arial"/>
          <w:sz w:val="22"/>
          <w:szCs w:val="22"/>
        </w:rPr>
        <w:t xml:space="preserve"> fueron del 6 % en volumen y del 1</w:t>
      </w:r>
      <w:r w:rsidR="00EE3E0F" w:rsidRPr="00883E07">
        <w:rPr>
          <w:rFonts w:asciiTheme="majorHAnsi" w:hAnsiTheme="majorHAnsi" w:cs="Arial"/>
          <w:sz w:val="22"/>
          <w:szCs w:val="22"/>
        </w:rPr>
        <w:t>2</w:t>
      </w:r>
      <w:r w:rsidRPr="00883E07">
        <w:rPr>
          <w:rFonts w:asciiTheme="majorHAnsi" w:hAnsiTheme="majorHAnsi" w:cs="Arial"/>
          <w:sz w:val="22"/>
          <w:szCs w:val="22"/>
        </w:rPr>
        <w:t xml:space="preserve"> % en valor.</w:t>
      </w:r>
    </w:p>
    <w:p w:rsidR="00DF00AA" w:rsidRPr="00883E07" w:rsidRDefault="00DF00AA" w:rsidP="00DF00AA">
      <w:pPr>
        <w:jc w:val="both"/>
        <w:rPr>
          <w:rFonts w:asciiTheme="majorHAnsi" w:hAnsiTheme="majorHAnsi" w:cs="Arial"/>
          <w:sz w:val="22"/>
          <w:szCs w:val="22"/>
        </w:rPr>
      </w:pPr>
    </w:p>
    <w:p w:rsidR="00DF00AA" w:rsidRPr="00883E07" w:rsidRDefault="00DF00AA" w:rsidP="00DF00AA">
      <w:pPr>
        <w:jc w:val="both"/>
        <w:rPr>
          <w:rFonts w:asciiTheme="majorHAnsi" w:hAnsiTheme="majorHAnsi" w:cs="Arial"/>
          <w:sz w:val="22"/>
          <w:szCs w:val="22"/>
        </w:rPr>
      </w:pPr>
      <w:r w:rsidRPr="00883E07">
        <w:rPr>
          <w:rFonts w:asciiTheme="majorHAnsi" w:hAnsiTheme="majorHAnsi" w:cs="Arial"/>
          <w:sz w:val="22"/>
          <w:szCs w:val="22"/>
        </w:rPr>
        <w:t xml:space="preserve">La producción mundial de la acuicultura, incluyendo las plantas acuáticas (algas), alcanzó los </w:t>
      </w:r>
      <w:r w:rsidR="00EE3E0F" w:rsidRPr="00883E07">
        <w:rPr>
          <w:rFonts w:asciiTheme="majorHAnsi" w:hAnsiTheme="majorHAnsi" w:cs="Arial"/>
          <w:sz w:val="22"/>
          <w:szCs w:val="22"/>
        </w:rPr>
        <w:t>83</w:t>
      </w:r>
      <w:r w:rsidRPr="00883E07">
        <w:rPr>
          <w:rFonts w:asciiTheme="majorHAnsi" w:hAnsiTheme="majorHAnsi" w:cs="Arial"/>
          <w:sz w:val="22"/>
          <w:szCs w:val="22"/>
        </w:rPr>
        <w:t>,7</w:t>
      </w:r>
      <w:r w:rsidR="00EE3E0F" w:rsidRPr="00883E07">
        <w:rPr>
          <w:rFonts w:asciiTheme="majorHAnsi" w:hAnsiTheme="majorHAnsi" w:cs="Arial"/>
          <w:sz w:val="22"/>
          <w:szCs w:val="22"/>
        </w:rPr>
        <w:t>2</w:t>
      </w:r>
      <w:r w:rsidRPr="00883E07">
        <w:rPr>
          <w:rFonts w:asciiTheme="majorHAnsi" w:hAnsiTheme="majorHAnsi" w:cs="Arial"/>
          <w:sz w:val="22"/>
          <w:szCs w:val="22"/>
        </w:rPr>
        <w:t xml:space="preserve"> millones de toneladas en 20</w:t>
      </w:r>
      <w:r w:rsidR="00EE3E0F" w:rsidRPr="00883E07">
        <w:rPr>
          <w:rFonts w:asciiTheme="majorHAnsi" w:hAnsiTheme="majorHAnsi" w:cs="Arial"/>
          <w:sz w:val="22"/>
          <w:szCs w:val="22"/>
        </w:rPr>
        <w:t>11</w:t>
      </w:r>
      <w:r w:rsidRPr="00883E07">
        <w:rPr>
          <w:rFonts w:asciiTheme="majorHAnsi" w:hAnsiTheme="majorHAnsi" w:cs="Arial"/>
          <w:sz w:val="22"/>
          <w:szCs w:val="22"/>
        </w:rPr>
        <w:t xml:space="preserve">, para un crecimiento promedio en los últimos 30 años de alrededor del 8.7 % anual. Cerca del 40 % de esta producción se ha comercializado internacionalmente, con un valor de </w:t>
      </w:r>
      <w:r w:rsidR="00EE3E0F" w:rsidRPr="00883E07">
        <w:rPr>
          <w:rFonts w:asciiTheme="majorHAnsi" w:hAnsiTheme="majorHAnsi" w:cs="Arial"/>
          <w:sz w:val="22"/>
          <w:szCs w:val="22"/>
        </w:rPr>
        <w:t>135</w:t>
      </w:r>
      <w:r w:rsidRPr="00883E07">
        <w:rPr>
          <w:rFonts w:asciiTheme="majorHAnsi" w:hAnsiTheme="majorHAnsi" w:cs="Arial"/>
          <w:sz w:val="22"/>
          <w:szCs w:val="22"/>
        </w:rPr>
        <w:t xml:space="preserve"> 9</w:t>
      </w:r>
      <w:r w:rsidR="00EE3E0F" w:rsidRPr="00883E07">
        <w:rPr>
          <w:rFonts w:asciiTheme="majorHAnsi" w:hAnsiTheme="majorHAnsi" w:cs="Arial"/>
          <w:sz w:val="22"/>
          <w:szCs w:val="22"/>
        </w:rPr>
        <w:t>9</w:t>
      </w:r>
      <w:r w:rsidRPr="00883E07">
        <w:rPr>
          <w:rFonts w:asciiTheme="majorHAnsi" w:hAnsiTheme="majorHAnsi" w:cs="Arial"/>
          <w:sz w:val="22"/>
          <w:szCs w:val="22"/>
        </w:rPr>
        <w:t xml:space="preserve">0 millones de USD. </w:t>
      </w:r>
      <w:r w:rsidR="00770479" w:rsidRPr="00883E07">
        <w:rPr>
          <w:rFonts w:asciiTheme="majorHAnsi" w:hAnsiTheme="majorHAnsi" w:cs="Arial"/>
          <w:sz w:val="22"/>
          <w:szCs w:val="22"/>
        </w:rPr>
        <w:t>E</w:t>
      </w:r>
      <w:r w:rsidRPr="00883E07">
        <w:rPr>
          <w:rFonts w:asciiTheme="majorHAnsi" w:hAnsiTheme="majorHAnsi" w:cs="Arial"/>
          <w:sz w:val="22"/>
          <w:szCs w:val="22"/>
        </w:rPr>
        <w:t>l 80 % de la producción de la acuicultura tiene lugar en países asiáticos, particularmente en China.</w:t>
      </w:r>
    </w:p>
    <w:p w:rsidR="00883E07" w:rsidRDefault="00883E07" w:rsidP="00DF00AA">
      <w:pPr>
        <w:pStyle w:val="EstiloEpgrafeCentrado"/>
        <w:suppressAutoHyphens/>
        <w:spacing w:before="0" w:after="0"/>
        <w:rPr>
          <w:rFonts w:asciiTheme="majorHAnsi" w:hAnsiTheme="majorHAnsi"/>
          <w:sz w:val="22"/>
          <w:szCs w:val="22"/>
        </w:rPr>
      </w:pPr>
      <w:bookmarkStart w:id="3" w:name="_Toc227738369"/>
      <w:bookmarkStart w:id="4" w:name="_Toc242210747"/>
    </w:p>
    <w:p w:rsidR="00BF0D31" w:rsidRDefault="00BF0D31" w:rsidP="00DF00AA">
      <w:pPr>
        <w:pStyle w:val="EstiloEpgrafeCentrado"/>
        <w:suppressAutoHyphens/>
        <w:spacing w:before="0" w:after="0"/>
        <w:rPr>
          <w:rFonts w:asciiTheme="majorHAnsi" w:hAnsiTheme="majorHAnsi"/>
          <w:sz w:val="22"/>
          <w:szCs w:val="22"/>
        </w:rPr>
      </w:pPr>
    </w:p>
    <w:p w:rsidR="00BF0D31" w:rsidRDefault="00BF0D31"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BF0D31" w:rsidRDefault="00BF0D31" w:rsidP="00DF00AA">
      <w:pPr>
        <w:pStyle w:val="EstiloEpgrafeCentrado"/>
        <w:suppressAutoHyphens/>
        <w:spacing w:before="0" w:after="0"/>
        <w:rPr>
          <w:rFonts w:asciiTheme="majorHAnsi" w:hAnsiTheme="majorHAnsi"/>
          <w:sz w:val="22"/>
          <w:szCs w:val="22"/>
        </w:rPr>
      </w:pPr>
    </w:p>
    <w:p w:rsidR="00BF0D31" w:rsidRDefault="00BF0D31" w:rsidP="00DF00AA">
      <w:pPr>
        <w:pStyle w:val="EstiloEpgrafeCentrado"/>
        <w:suppressAutoHyphens/>
        <w:spacing w:before="0" w:after="0"/>
        <w:rPr>
          <w:rFonts w:asciiTheme="majorHAnsi" w:hAnsiTheme="majorHAnsi"/>
          <w:sz w:val="22"/>
          <w:szCs w:val="22"/>
        </w:rPr>
      </w:pPr>
    </w:p>
    <w:p w:rsidR="00BF0D31" w:rsidRDefault="00BF0D31"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BF0D31" w:rsidRDefault="00BF0D31"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202074" w:rsidRDefault="00202074" w:rsidP="00DF00AA">
      <w:pPr>
        <w:pStyle w:val="EstiloEpgrafeCentrado"/>
        <w:suppressAutoHyphens/>
        <w:spacing w:before="0" w:after="0"/>
        <w:rPr>
          <w:rFonts w:asciiTheme="majorHAnsi" w:hAnsiTheme="majorHAnsi"/>
          <w:sz w:val="22"/>
          <w:szCs w:val="22"/>
        </w:rPr>
      </w:pPr>
    </w:p>
    <w:p w:rsidR="00BF0D31" w:rsidRDefault="00BF0D31" w:rsidP="00DF00AA">
      <w:pPr>
        <w:pStyle w:val="EstiloEpgrafeCentrado"/>
        <w:suppressAutoHyphens/>
        <w:spacing w:before="0" w:after="0"/>
        <w:rPr>
          <w:rFonts w:asciiTheme="majorHAnsi" w:hAnsiTheme="majorHAnsi"/>
          <w:sz w:val="22"/>
          <w:szCs w:val="22"/>
        </w:rPr>
      </w:pPr>
    </w:p>
    <w:p w:rsidR="00BF0D31" w:rsidRPr="00883E07" w:rsidRDefault="00BF0D31" w:rsidP="00DF00AA">
      <w:pPr>
        <w:pStyle w:val="EstiloEpgrafeCentrado"/>
        <w:suppressAutoHyphens/>
        <w:spacing w:before="0" w:after="0"/>
        <w:rPr>
          <w:rFonts w:asciiTheme="majorHAnsi" w:hAnsiTheme="majorHAnsi"/>
          <w:sz w:val="22"/>
          <w:szCs w:val="22"/>
        </w:rPr>
      </w:pPr>
    </w:p>
    <w:bookmarkEnd w:id="3"/>
    <w:p w:rsidR="00DF00AA" w:rsidRPr="00883E07" w:rsidRDefault="00866050" w:rsidP="00866050">
      <w:pPr>
        <w:pStyle w:val="EstiloEpgrafeCentrado"/>
        <w:suppressAutoHyphens/>
        <w:spacing w:before="0" w:after="0"/>
        <w:jc w:val="left"/>
        <w:rPr>
          <w:rFonts w:asciiTheme="majorHAnsi" w:hAnsiTheme="majorHAnsi"/>
          <w:sz w:val="22"/>
          <w:szCs w:val="22"/>
        </w:rPr>
      </w:pPr>
      <w:r w:rsidRPr="00883E07">
        <w:rPr>
          <w:rFonts w:asciiTheme="majorHAnsi" w:hAnsiTheme="majorHAnsi"/>
          <w:sz w:val="22"/>
          <w:szCs w:val="22"/>
        </w:rPr>
        <w:t xml:space="preserve">Grafico 01. </w:t>
      </w:r>
      <w:r w:rsidR="00DF00AA" w:rsidRPr="00883E07">
        <w:rPr>
          <w:rFonts w:asciiTheme="majorHAnsi" w:hAnsiTheme="majorHAnsi"/>
          <w:b w:val="0"/>
          <w:sz w:val="22"/>
          <w:szCs w:val="22"/>
        </w:rPr>
        <w:t>Evolución de la Producción de Acuicultura Mundial (</w:t>
      </w:r>
      <w:r w:rsidR="00770479" w:rsidRPr="00883E07">
        <w:rPr>
          <w:rFonts w:asciiTheme="majorHAnsi" w:hAnsiTheme="majorHAnsi"/>
          <w:b w:val="0"/>
          <w:sz w:val="22"/>
          <w:szCs w:val="22"/>
        </w:rPr>
        <w:t>2000</w:t>
      </w:r>
      <w:r w:rsidR="00DF00AA" w:rsidRPr="00883E07">
        <w:rPr>
          <w:rFonts w:asciiTheme="majorHAnsi" w:hAnsiTheme="majorHAnsi"/>
          <w:b w:val="0"/>
          <w:sz w:val="22"/>
          <w:szCs w:val="22"/>
        </w:rPr>
        <w:t xml:space="preserve"> – 20</w:t>
      </w:r>
      <w:r w:rsidR="00EE3E0F" w:rsidRPr="00883E07">
        <w:rPr>
          <w:rFonts w:asciiTheme="majorHAnsi" w:hAnsiTheme="majorHAnsi"/>
          <w:b w:val="0"/>
          <w:sz w:val="22"/>
          <w:szCs w:val="22"/>
        </w:rPr>
        <w:t>11</w:t>
      </w:r>
      <w:r w:rsidR="00DF00AA" w:rsidRPr="00883E07">
        <w:rPr>
          <w:rFonts w:asciiTheme="majorHAnsi" w:hAnsiTheme="majorHAnsi"/>
          <w:b w:val="0"/>
          <w:sz w:val="22"/>
          <w:szCs w:val="22"/>
        </w:rPr>
        <w:t>)</w:t>
      </w:r>
      <w:bookmarkEnd w:id="4"/>
    </w:p>
    <w:p w:rsidR="00DF00AA" w:rsidRPr="00883E07" w:rsidRDefault="00770479" w:rsidP="00FD775E">
      <w:pPr>
        <w:spacing w:before="240" w:after="240"/>
        <w:ind w:left="425"/>
        <w:jc w:val="center"/>
        <w:rPr>
          <w:rFonts w:asciiTheme="majorHAnsi" w:hAnsiTheme="majorHAnsi" w:cs="Arial"/>
          <w:sz w:val="22"/>
          <w:szCs w:val="22"/>
        </w:rPr>
      </w:pPr>
      <w:r w:rsidRPr="00883E07">
        <w:rPr>
          <w:rFonts w:asciiTheme="majorHAnsi" w:hAnsiTheme="majorHAnsi" w:cs="Arial"/>
          <w:noProof/>
          <w:sz w:val="22"/>
          <w:szCs w:val="22"/>
          <w:lang w:val="es-PE" w:eastAsia="es-PE"/>
        </w:rPr>
        <w:lastRenderedPageBreak/>
        <w:drawing>
          <wp:inline distT="0" distB="0" distL="0" distR="0">
            <wp:extent cx="4898006" cy="2665562"/>
            <wp:effectExtent l="19050" t="0" r="16894" b="1438"/>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00AA" w:rsidRPr="00883E07" w:rsidRDefault="00770479" w:rsidP="00770479">
      <w:pPr>
        <w:jc w:val="both"/>
        <w:rPr>
          <w:rFonts w:asciiTheme="majorHAnsi" w:hAnsiTheme="majorHAnsi" w:cs="Arial"/>
          <w:sz w:val="16"/>
          <w:szCs w:val="16"/>
        </w:rPr>
      </w:pPr>
      <w:r w:rsidRPr="00883E07">
        <w:rPr>
          <w:rFonts w:asciiTheme="majorHAnsi" w:hAnsiTheme="majorHAnsi" w:cs="Arial"/>
          <w:sz w:val="16"/>
          <w:szCs w:val="16"/>
        </w:rPr>
        <w:t xml:space="preserve">Fuente: </w:t>
      </w:r>
      <w:proofErr w:type="spellStart"/>
      <w:r w:rsidRPr="00883E07">
        <w:rPr>
          <w:rFonts w:asciiTheme="majorHAnsi" w:hAnsiTheme="majorHAnsi" w:cs="Arial"/>
          <w:sz w:val="16"/>
          <w:szCs w:val="16"/>
        </w:rPr>
        <w:t>Fishstat</w:t>
      </w:r>
      <w:proofErr w:type="spellEnd"/>
      <w:r w:rsidRPr="00883E07">
        <w:rPr>
          <w:rFonts w:asciiTheme="majorHAnsi" w:hAnsiTheme="majorHAnsi" w:cs="Arial"/>
          <w:sz w:val="16"/>
          <w:szCs w:val="16"/>
        </w:rPr>
        <w:t xml:space="preserve"> Plus – FAO; Incluye peces, moluscos, crustáceos y plantas acuáticas (algas)</w:t>
      </w:r>
      <w:r w:rsidR="00DF00AA" w:rsidRPr="00883E07">
        <w:rPr>
          <w:rFonts w:asciiTheme="majorHAnsi" w:hAnsiTheme="majorHAnsi" w:cs="Arial"/>
          <w:sz w:val="16"/>
          <w:szCs w:val="16"/>
        </w:rPr>
        <w:tab/>
      </w:r>
    </w:p>
    <w:p w:rsidR="00DF00AA" w:rsidRPr="00883E07" w:rsidRDefault="00DF00AA" w:rsidP="00944532">
      <w:pPr>
        <w:spacing w:before="240" w:after="240"/>
        <w:jc w:val="both"/>
        <w:rPr>
          <w:rFonts w:asciiTheme="majorHAnsi" w:hAnsiTheme="majorHAnsi" w:cs="Arial"/>
          <w:sz w:val="22"/>
          <w:szCs w:val="22"/>
        </w:rPr>
      </w:pPr>
      <w:r w:rsidRPr="00883E07">
        <w:rPr>
          <w:rFonts w:asciiTheme="majorHAnsi" w:hAnsiTheme="majorHAnsi" w:cs="Arial"/>
          <w:sz w:val="22"/>
          <w:szCs w:val="22"/>
        </w:rPr>
        <w:t>En el 20</w:t>
      </w:r>
      <w:r w:rsidR="00770479" w:rsidRPr="00883E07">
        <w:rPr>
          <w:rFonts w:asciiTheme="majorHAnsi" w:hAnsiTheme="majorHAnsi" w:cs="Arial"/>
          <w:sz w:val="22"/>
          <w:szCs w:val="22"/>
        </w:rPr>
        <w:t>11</w:t>
      </w:r>
      <w:r w:rsidRPr="00883E07">
        <w:rPr>
          <w:rFonts w:asciiTheme="majorHAnsi" w:hAnsiTheme="majorHAnsi" w:cs="Arial"/>
          <w:sz w:val="22"/>
          <w:szCs w:val="22"/>
        </w:rPr>
        <w:t>, los países de las regiones de Asia y el Pacífico produjeron el 8</w:t>
      </w:r>
      <w:r w:rsidR="00944532" w:rsidRPr="00883E07">
        <w:rPr>
          <w:rFonts w:asciiTheme="majorHAnsi" w:hAnsiTheme="majorHAnsi" w:cs="Arial"/>
          <w:sz w:val="22"/>
          <w:szCs w:val="22"/>
        </w:rPr>
        <w:t>8</w:t>
      </w:r>
      <w:r w:rsidRPr="00883E07">
        <w:rPr>
          <w:rFonts w:asciiTheme="majorHAnsi" w:hAnsiTheme="majorHAnsi" w:cs="Arial"/>
          <w:sz w:val="22"/>
          <w:szCs w:val="22"/>
        </w:rPr>
        <w:t xml:space="preserve"> % de la cantidad total y el 77 % del valor total. Se ha registrado que China produce el 6</w:t>
      </w:r>
      <w:r w:rsidR="00944532" w:rsidRPr="00883E07">
        <w:rPr>
          <w:rFonts w:asciiTheme="majorHAnsi" w:hAnsiTheme="majorHAnsi" w:cs="Arial"/>
          <w:sz w:val="22"/>
          <w:szCs w:val="22"/>
        </w:rPr>
        <w:t>3</w:t>
      </w:r>
      <w:r w:rsidRPr="00883E07">
        <w:rPr>
          <w:rFonts w:asciiTheme="majorHAnsi" w:hAnsiTheme="majorHAnsi" w:cs="Arial"/>
          <w:sz w:val="22"/>
          <w:szCs w:val="22"/>
        </w:rPr>
        <w:t xml:space="preserve"> % del total mundial y el 4</w:t>
      </w:r>
      <w:r w:rsidR="00944532" w:rsidRPr="00883E07">
        <w:rPr>
          <w:rFonts w:asciiTheme="majorHAnsi" w:hAnsiTheme="majorHAnsi" w:cs="Arial"/>
          <w:sz w:val="22"/>
          <w:szCs w:val="22"/>
        </w:rPr>
        <w:t>8</w:t>
      </w:r>
      <w:r w:rsidRPr="00883E07">
        <w:rPr>
          <w:rFonts w:asciiTheme="majorHAnsi" w:hAnsiTheme="majorHAnsi" w:cs="Arial"/>
          <w:sz w:val="22"/>
          <w:szCs w:val="22"/>
        </w:rPr>
        <w:t xml:space="preserve"> % del valor total de la producción acuícola</w:t>
      </w:r>
      <w:r w:rsidR="00944532" w:rsidRPr="00883E07">
        <w:rPr>
          <w:rFonts w:asciiTheme="majorHAnsi" w:hAnsiTheme="majorHAnsi" w:cs="Arial"/>
          <w:sz w:val="22"/>
          <w:szCs w:val="22"/>
        </w:rPr>
        <w:t xml:space="preserve"> mundial</w:t>
      </w:r>
      <w:r w:rsidRPr="00883E07">
        <w:rPr>
          <w:rFonts w:asciiTheme="majorHAnsi" w:hAnsiTheme="majorHAnsi" w:cs="Arial"/>
          <w:sz w:val="22"/>
          <w:szCs w:val="22"/>
        </w:rPr>
        <w:t>.</w:t>
      </w:r>
    </w:p>
    <w:p w:rsidR="00FD775E" w:rsidRPr="00883E07" w:rsidRDefault="00FD775E" w:rsidP="00FD775E">
      <w:pPr>
        <w:pStyle w:val="EstiloEpgrafeCentrado"/>
        <w:suppressAutoHyphens/>
        <w:spacing w:before="0" w:after="0"/>
        <w:jc w:val="left"/>
        <w:rPr>
          <w:rFonts w:asciiTheme="majorHAnsi" w:hAnsiTheme="majorHAnsi"/>
          <w:sz w:val="22"/>
          <w:szCs w:val="22"/>
        </w:rPr>
      </w:pPr>
      <w:r w:rsidRPr="00883E07">
        <w:rPr>
          <w:rFonts w:asciiTheme="majorHAnsi" w:hAnsiTheme="majorHAnsi"/>
          <w:sz w:val="22"/>
          <w:szCs w:val="22"/>
        </w:rPr>
        <w:t>Tabla 01. Principales productores de acuicultura a nivel mundial en 2011</w:t>
      </w:r>
    </w:p>
    <w:p w:rsidR="00FD775E" w:rsidRPr="00883E07" w:rsidRDefault="00FD775E" w:rsidP="00FD775E">
      <w:pPr>
        <w:pStyle w:val="EstiloEpgrafeCentrado"/>
        <w:suppressAutoHyphens/>
        <w:spacing w:before="0" w:after="0"/>
        <w:rPr>
          <w:rFonts w:asciiTheme="majorHAnsi" w:hAnsiTheme="majorHAnsi"/>
          <w:sz w:val="22"/>
          <w:szCs w:val="22"/>
        </w:rPr>
      </w:pPr>
    </w:p>
    <w:tbl>
      <w:tblPr>
        <w:tblStyle w:val="Listavistosa1"/>
        <w:tblW w:w="5394" w:type="dxa"/>
        <w:jc w:val="center"/>
        <w:tblLook w:val="04A0" w:firstRow="1" w:lastRow="0" w:firstColumn="1" w:lastColumn="0" w:noHBand="0" w:noVBand="1"/>
      </w:tblPr>
      <w:tblGrid>
        <w:gridCol w:w="2809"/>
        <w:gridCol w:w="2585"/>
      </w:tblGrid>
      <w:tr w:rsidR="00DF00AA" w:rsidRPr="00883E07" w:rsidTr="00FD775E">
        <w:trPr>
          <w:cnfStyle w:val="100000000000" w:firstRow="1" w:lastRow="0" w:firstColumn="0" w:lastColumn="0" w:oddVBand="0" w:evenVBand="0" w:oddHBand="0"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DF00AA" w:rsidRPr="00883E07" w:rsidRDefault="00DF00AA" w:rsidP="00224D13">
            <w:pPr>
              <w:jc w:val="center"/>
              <w:rPr>
                <w:rFonts w:asciiTheme="majorHAnsi" w:hAnsiTheme="majorHAnsi" w:cs="Arial"/>
                <w:sz w:val="16"/>
                <w:szCs w:val="16"/>
                <w:lang w:val="es-PE" w:eastAsia="nb-NO"/>
              </w:rPr>
            </w:pPr>
            <w:r w:rsidRPr="00883E07">
              <w:rPr>
                <w:rFonts w:asciiTheme="majorHAnsi" w:hAnsiTheme="majorHAnsi" w:cs="Arial"/>
                <w:b w:val="0"/>
                <w:bCs w:val="0"/>
                <w:sz w:val="16"/>
                <w:szCs w:val="16"/>
                <w:lang w:eastAsia="nb-NO"/>
              </w:rPr>
              <w:t>PAIS</w:t>
            </w:r>
          </w:p>
        </w:tc>
        <w:tc>
          <w:tcPr>
            <w:tcW w:w="2585" w:type="dxa"/>
            <w:hideMark/>
          </w:tcPr>
          <w:p w:rsidR="00DF00AA" w:rsidRPr="00883E07" w:rsidRDefault="00DF00AA" w:rsidP="00224D13">
            <w:pPr>
              <w:ind w:left="4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6"/>
                <w:szCs w:val="16"/>
                <w:lang w:val="es-PE" w:eastAsia="nb-NO"/>
              </w:rPr>
            </w:pPr>
            <w:r w:rsidRPr="00883E07">
              <w:rPr>
                <w:rFonts w:asciiTheme="majorHAnsi" w:hAnsiTheme="majorHAnsi" w:cs="Arial"/>
                <w:b w:val="0"/>
                <w:bCs w:val="0"/>
                <w:sz w:val="16"/>
                <w:szCs w:val="16"/>
                <w:lang w:eastAsia="nb-NO"/>
              </w:rPr>
              <w:t>VOLUMEN (TM)</w:t>
            </w:r>
          </w:p>
        </w:tc>
      </w:tr>
      <w:tr w:rsidR="00DF00AA" w:rsidRPr="00883E07" w:rsidTr="00FD775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DF00AA" w:rsidRPr="00883E07" w:rsidRDefault="00DF00AA" w:rsidP="00224D13">
            <w:pPr>
              <w:ind w:left="142"/>
              <w:jc w:val="center"/>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CHINA</w:t>
            </w:r>
          </w:p>
        </w:tc>
        <w:tc>
          <w:tcPr>
            <w:tcW w:w="2585" w:type="dxa"/>
            <w:hideMark/>
          </w:tcPr>
          <w:p w:rsidR="00DF00AA" w:rsidRPr="00883E07" w:rsidRDefault="00001F91" w:rsidP="0094453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41</w:t>
            </w:r>
            <w:r w:rsidR="00DF00AA" w:rsidRPr="00883E07">
              <w:rPr>
                <w:rFonts w:asciiTheme="majorHAnsi" w:hAnsiTheme="majorHAnsi" w:cs="Arial"/>
                <w:color w:val="auto"/>
                <w:sz w:val="16"/>
                <w:szCs w:val="16"/>
                <w:lang w:eastAsia="nb-NO"/>
              </w:rPr>
              <w:t xml:space="preserve"> </w:t>
            </w:r>
            <w:r w:rsidRPr="00883E07">
              <w:rPr>
                <w:rFonts w:asciiTheme="majorHAnsi" w:hAnsiTheme="majorHAnsi" w:cs="Arial"/>
                <w:color w:val="auto"/>
                <w:sz w:val="16"/>
                <w:szCs w:val="16"/>
                <w:lang w:eastAsia="nb-NO"/>
              </w:rPr>
              <w:t>566</w:t>
            </w:r>
            <w:r w:rsidR="00DF00AA" w:rsidRPr="00883E07">
              <w:rPr>
                <w:rFonts w:asciiTheme="majorHAnsi" w:hAnsiTheme="majorHAnsi" w:cs="Arial"/>
                <w:color w:val="auto"/>
                <w:sz w:val="16"/>
                <w:szCs w:val="16"/>
                <w:lang w:eastAsia="nb-NO"/>
              </w:rPr>
              <w:t xml:space="preserve"> </w:t>
            </w:r>
            <w:r w:rsidRPr="00883E07">
              <w:rPr>
                <w:rFonts w:asciiTheme="majorHAnsi" w:hAnsiTheme="majorHAnsi" w:cs="Arial"/>
                <w:color w:val="auto"/>
                <w:sz w:val="16"/>
                <w:szCs w:val="16"/>
                <w:lang w:eastAsia="nb-NO"/>
              </w:rPr>
              <w:t>834</w:t>
            </w:r>
          </w:p>
        </w:tc>
      </w:tr>
      <w:tr w:rsidR="00DF00AA" w:rsidRPr="00883E07" w:rsidTr="00FD775E">
        <w:trPr>
          <w:trHeight w:val="205"/>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DF00AA" w:rsidRPr="00883E07" w:rsidRDefault="00DF00AA" w:rsidP="00224D13">
            <w:pPr>
              <w:ind w:left="142"/>
              <w:jc w:val="center"/>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INDIA</w:t>
            </w:r>
          </w:p>
        </w:tc>
        <w:tc>
          <w:tcPr>
            <w:tcW w:w="2585" w:type="dxa"/>
            <w:hideMark/>
          </w:tcPr>
          <w:p w:rsidR="00DF00AA" w:rsidRPr="00883E07" w:rsidRDefault="00770479" w:rsidP="0094453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4</w:t>
            </w:r>
            <w:r w:rsidR="00DF00AA" w:rsidRPr="00883E07">
              <w:rPr>
                <w:rFonts w:asciiTheme="majorHAnsi" w:hAnsiTheme="majorHAnsi" w:cs="Arial"/>
                <w:color w:val="auto"/>
                <w:sz w:val="16"/>
                <w:szCs w:val="16"/>
                <w:lang w:eastAsia="nb-NO"/>
              </w:rPr>
              <w:t xml:space="preserve"> </w:t>
            </w:r>
            <w:r w:rsidRPr="00883E07">
              <w:rPr>
                <w:rFonts w:asciiTheme="majorHAnsi" w:hAnsiTheme="majorHAnsi" w:cs="Arial"/>
                <w:color w:val="auto"/>
                <w:sz w:val="16"/>
                <w:szCs w:val="16"/>
                <w:lang w:eastAsia="nb-NO"/>
              </w:rPr>
              <w:t>57</w:t>
            </w:r>
            <w:r w:rsidR="00001F91" w:rsidRPr="00883E07">
              <w:rPr>
                <w:rFonts w:asciiTheme="majorHAnsi" w:hAnsiTheme="majorHAnsi" w:cs="Arial"/>
                <w:color w:val="auto"/>
                <w:sz w:val="16"/>
                <w:szCs w:val="16"/>
                <w:lang w:eastAsia="nb-NO"/>
              </w:rPr>
              <w:t>3</w:t>
            </w:r>
            <w:r w:rsidR="00DF00AA" w:rsidRPr="00883E07">
              <w:rPr>
                <w:rFonts w:asciiTheme="majorHAnsi" w:hAnsiTheme="majorHAnsi" w:cs="Arial"/>
                <w:color w:val="auto"/>
                <w:sz w:val="16"/>
                <w:szCs w:val="16"/>
                <w:lang w:eastAsia="nb-NO"/>
              </w:rPr>
              <w:t xml:space="preserve"> </w:t>
            </w:r>
            <w:r w:rsidR="00001F91" w:rsidRPr="00883E07">
              <w:rPr>
                <w:rFonts w:asciiTheme="majorHAnsi" w:hAnsiTheme="majorHAnsi" w:cs="Arial"/>
                <w:color w:val="auto"/>
                <w:sz w:val="16"/>
                <w:szCs w:val="16"/>
                <w:lang w:eastAsia="nb-NO"/>
              </w:rPr>
              <w:t>4</w:t>
            </w:r>
            <w:r w:rsidRPr="00883E07">
              <w:rPr>
                <w:rFonts w:asciiTheme="majorHAnsi" w:hAnsiTheme="majorHAnsi" w:cs="Arial"/>
                <w:color w:val="auto"/>
                <w:sz w:val="16"/>
                <w:szCs w:val="16"/>
                <w:lang w:eastAsia="nb-NO"/>
              </w:rPr>
              <w:t>65</w:t>
            </w:r>
          </w:p>
        </w:tc>
      </w:tr>
      <w:tr w:rsidR="00DF00AA" w:rsidRPr="00883E07" w:rsidTr="00FD775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DF00AA" w:rsidRPr="00883E07" w:rsidRDefault="00DF00AA" w:rsidP="00224D13">
            <w:pPr>
              <w:ind w:left="142"/>
              <w:jc w:val="center"/>
              <w:rPr>
                <w:rFonts w:asciiTheme="majorHAnsi" w:hAnsiTheme="majorHAnsi" w:cs="Arial"/>
                <w:color w:val="auto"/>
                <w:sz w:val="16"/>
                <w:szCs w:val="16"/>
                <w:lang w:eastAsia="nb-NO"/>
              </w:rPr>
            </w:pPr>
            <w:r w:rsidRPr="00883E07">
              <w:rPr>
                <w:rFonts w:asciiTheme="majorHAnsi" w:hAnsiTheme="majorHAnsi" w:cs="Arial"/>
                <w:color w:val="auto"/>
                <w:sz w:val="16"/>
                <w:szCs w:val="16"/>
                <w:lang w:eastAsia="nb-NO"/>
              </w:rPr>
              <w:t>VIETNAM</w:t>
            </w:r>
          </w:p>
        </w:tc>
        <w:tc>
          <w:tcPr>
            <w:tcW w:w="2585" w:type="dxa"/>
            <w:hideMark/>
          </w:tcPr>
          <w:p w:rsidR="00DF00AA" w:rsidRPr="00883E07" w:rsidRDefault="00001F91" w:rsidP="0094453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6"/>
                <w:szCs w:val="16"/>
                <w:lang w:eastAsia="nb-NO"/>
              </w:rPr>
            </w:pPr>
            <w:r w:rsidRPr="00883E07">
              <w:rPr>
                <w:rFonts w:asciiTheme="majorHAnsi" w:hAnsiTheme="majorHAnsi" w:cs="Arial"/>
                <w:color w:val="auto"/>
                <w:sz w:val="16"/>
                <w:szCs w:val="16"/>
                <w:lang w:eastAsia="nb-NO"/>
              </w:rPr>
              <w:t>2</w:t>
            </w:r>
            <w:r w:rsidR="00DF00AA" w:rsidRPr="00883E07">
              <w:rPr>
                <w:rFonts w:asciiTheme="majorHAnsi" w:hAnsiTheme="majorHAnsi" w:cs="Arial"/>
                <w:color w:val="auto"/>
                <w:sz w:val="16"/>
                <w:szCs w:val="16"/>
                <w:lang w:eastAsia="nb-NO"/>
              </w:rPr>
              <w:t xml:space="preserve"> </w:t>
            </w:r>
            <w:r w:rsidRPr="00883E07">
              <w:rPr>
                <w:rFonts w:asciiTheme="majorHAnsi" w:hAnsiTheme="majorHAnsi" w:cs="Arial"/>
                <w:color w:val="auto"/>
                <w:sz w:val="16"/>
                <w:szCs w:val="16"/>
                <w:lang w:eastAsia="nb-NO"/>
              </w:rPr>
              <w:t>845</w:t>
            </w:r>
            <w:r w:rsidR="00DF00AA" w:rsidRPr="00883E07">
              <w:rPr>
                <w:rFonts w:asciiTheme="majorHAnsi" w:hAnsiTheme="majorHAnsi" w:cs="Arial"/>
                <w:color w:val="auto"/>
                <w:sz w:val="16"/>
                <w:szCs w:val="16"/>
                <w:lang w:eastAsia="nb-NO"/>
              </w:rPr>
              <w:t xml:space="preserve"> </w:t>
            </w:r>
            <w:r w:rsidRPr="00883E07">
              <w:rPr>
                <w:rFonts w:asciiTheme="majorHAnsi" w:hAnsiTheme="majorHAnsi" w:cs="Arial"/>
                <w:color w:val="auto"/>
                <w:sz w:val="16"/>
                <w:szCs w:val="16"/>
                <w:lang w:eastAsia="nb-NO"/>
              </w:rPr>
              <w:t>6</w:t>
            </w:r>
            <w:r w:rsidR="00770479" w:rsidRPr="00883E07">
              <w:rPr>
                <w:rFonts w:asciiTheme="majorHAnsi" w:hAnsiTheme="majorHAnsi" w:cs="Arial"/>
                <w:color w:val="auto"/>
                <w:sz w:val="16"/>
                <w:szCs w:val="16"/>
                <w:lang w:eastAsia="nb-NO"/>
              </w:rPr>
              <w:t>00</w:t>
            </w:r>
          </w:p>
        </w:tc>
      </w:tr>
      <w:tr w:rsidR="00001F91" w:rsidRPr="00883E07" w:rsidTr="00FD775E">
        <w:trPr>
          <w:trHeight w:val="205"/>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001F91" w:rsidRPr="00883E07" w:rsidRDefault="00001F91" w:rsidP="00224D13">
            <w:pPr>
              <w:ind w:left="142"/>
              <w:jc w:val="center"/>
              <w:rPr>
                <w:rFonts w:asciiTheme="majorHAnsi" w:hAnsiTheme="majorHAnsi" w:cs="Arial"/>
                <w:sz w:val="16"/>
                <w:szCs w:val="16"/>
                <w:lang w:eastAsia="nb-NO"/>
              </w:rPr>
            </w:pPr>
            <w:r w:rsidRPr="00883E07">
              <w:rPr>
                <w:rFonts w:asciiTheme="majorHAnsi" w:hAnsiTheme="majorHAnsi" w:cs="Arial"/>
                <w:color w:val="auto"/>
                <w:sz w:val="16"/>
                <w:szCs w:val="16"/>
                <w:lang w:eastAsia="nb-NO"/>
              </w:rPr>
              <w:t>INDONESIA</w:t>
            </w:r>
          </w:p>
        </w:tc>
        <w:tc>
          <w:tcPr>
            <w:tcW w:w="2585" w:type="dxa"/>
            <w:hideMark/>
          </w:tcPr>
          <w:p w:rsidR="00001F91" w:rsidRPr="00883E07" w:rsidRDefault="00001F91" w:rsidP="0094453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6"/>
                <w:szCs w:val="16"/>
                <w:lang w:eastAsia="nb-NO"/>
              </w:rPr>
            </w:pPr>
            <w:r w:rsidRPr="00883E07">
              <w:rPr>
                <w:rFonts w:asciiTheme="majorHAnsi" w:hAnsiTheme="majorHAnsi" w:cs="Arial"/>
                <w:color w:val="auto"/>
                <w:sz w:val="16"/>
                <w:szCs w:val="16"/>
                <w:lang w:eastAsia="nb-NO"/>
              </w:rPr>
              <w:t>2 766 870</w:t>
            </w:r>
          </w:p>
        </w:tc>
      </w:tr>
      <w:tr w:rsidR="00DF00AA" w:rsidRPr="00883E07" w:rsidTr="00FD775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DF00AA" w:rsidRPr="00883E07" w:rsidRDefault="00001F91" w:rsidP="00224D13">
            <w:pPr>
              <w:ind w:left="142"/>
              <w:jc w:val="center"/>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BANGLADESH</w:t>
            </w:r>
          </w:p>
        </w:tc>
        <w:tc>
          <w:tcPr>
            <w:tcW w:w="2585" w:type="dxa"/>
            <w:hideMark/>
          </w:tcPr>
          <w:p w:rsidR="00DF00AA" w:rsidRPr="00883E07" w:rsidRDefault="00001F91" w:rsidP="0094453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1 523 759</w:t>
            </w:r>
          </w:p>
        </w:tc>
      </w:tr>
      <w:tr w:rsidR="00001F91" w:rsidRPr="00883E07" w:rsidTr="00FD775E">
        <w:trPr>
          <w:trHeight w:val="205"/>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001F91" w:rsidRPr="00883E07" w:rsidRDefault="00001F91" w:rsidP="00224D13">
            <w:pPr>
              <w:ind w:left="142"/>
              <w:jc w:val="center"/>
              <w:rPr>
                <w:rFonts w:asciiTheme="majorHAnsi" w:hAnsiTheme="majorHAnsi" w:cs="Arial"/>
                <w:sz w:val="16"/>
                <w:szCs w:val="16"/>
                <w:lang w:eastAsia="nb-NO"/>
              </w:rPr>
            </w:pPr>
            <w:r w:rsidRPr="00883E07">
              <w:rPr>
                <w:rFonts w:asciiTheme="majorHAnsi" w:hAnsiTheme="majorHAnsi" w:cs="Arial"/>
                <w:color w:val="auto"/>
                <w:sz w:val="16"/>
                <w:szCs w:val="16"/>
                <w:lang w:eastAsia="nb-NO"/>
              </w:rPr>
              <w:t>NORUEGA</w:t>
            </w:r>
          </w:p>
        </w:tc>
        <w:tc>
          <w:tcPr>
            <w:tcW w:w="2585" w:type="dxa"/>
            <w:hideMark/>
          </w:tcPr>
          <w:p w:rsidR="00001F91" w:rsidRPr="00883E07" w:rsidRDefault="00001F91" w:rsidP="0094453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6"/>
                <w:szCs w:val="16"/>
                <w:lang w:eastAsia="nb-NO"/>
              </w:rPr>
            </w:pPr>
            <w:r w:rsidRPr="00883E07">
              <w:rPr>
                <w:rFonts w:asciiTheme="majorHAnsi" w:hAnsiTheme="majorHAnsi" w:cs="Arial"/>
                <w:color w:val="auto"/>
                <w:sz w:val="16"/>
                <w:szCs w:val="16"/>
                <w:lang w:eastAsia="nb-NO"/>
              </w:rPr>
              <w:t>1 138 797</w:t>
            </w:r>
          </w:p>
        </w:tc>
      </w:tr>
      <w:tr w:rsidR="00DF00AA" w:rsidRPr="00883E07" w:rsidTr="00FD775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DF00AA" w:rsidRPr="00883E07" w:rsidRDefault="00001F91" w:rsidP="00224D13">
            <w:pPr>
              <w:ind w:left="142"/>
              <w:jc w:val="center"/>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TAILANDIA</w:t>
            </w:r>
          </w:p>
        </w:tc>
        <w:tc>
          <w:tcPr>
            <w:tcW w:w="2585" w:type="dxa"/>
            <w:hideMark/>
          </w:tcPr>
          <w:p w:rsidR="00DF00AA" w:rsidRPr="00883E07" w:rsidRDefault="00001F91" w:rsidP="0094453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1 008 049</w:t>
            </w:r>
          </w:p>
        </w:tc>
      </w:tr>
      <w:tr w:rsidR="00DF00AA" w:rsidRPr="00883E07" w:rsidTr="00FD775E">
        <w:trPr>
          <w:trHeight w:val="205"/>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DF00AA" w:rsidRPr="00883E07" w:rsidRDefault="00944532" w:rsidP="00224D13">
            <w:pPr>
              <w:ind w:left="142"/>
              <w:jc w:val="center"/>
              <w:rPr>
                <w:rFonts w:asciiTheme="majorHAnsi" w:hAnsiTheme="majorHAnsi" w:cs="Arial"/>
                <w:color w:val="auto"/>
                <w:sz w:val="16"/>
                <w:szCs w:val="16"/>
                <w:lang w:val="es-PE" w:eastAsia="nb-NO"/>
              </w:rPr>
            </w:pPr>
            <w:r w:rsidRPr="00883E07">
              <w:rPr>
                <w:rFonts w:asciiTheme="majorHAnsi" w:hAnsiTheme="majorHAnsi" w:cs="Arial"/>
                <w:sz w:val="16"/>
                <w:szCs w:val="16"/>
                <w:lang w:eastAsia="nb-NO"/>
              </w:rPr>
              <w:t>EGIPTO</w:t>
            </w:r>
          </w:p>
        </w:tc>
        <w:tc>
          <w:tcPr>
            <w:tcW w:w="2585" w:type="dxa"/>
            <w:hideMark/>
          </w:tcPr>
          <w:p w:rsidR="00DF00AA" w:rsidRPr="00883E07" w:rsidRDefault="00944532" w:rsidP="0094453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6"/>
                <w:szCs w:val="16"/>
                <w:lang w:val="es-PE" w:eastAsia="nb-NO"/>
              </w:rPr>
            </w:pPr>
            <w:r w:rsidRPr="00883E07">
              <w:rPr>
                <w:rFonts w:asciiTheme="majorHAnsi" w:hAnsiTheme="majorHAnsi" w:cs="Arial"/>
                <w:sz w:val="16"/>
                <w:szCs w:val="16"/>
                <w:lang w:eastAsia="nb-NO"/>
              </w:rPr>
              <w:t>986 820</w:t>
            </w:r>
          </w:p>
        </w:tc>
      </w:tr>
      <w:tr w:rsidR="00DF00AA" w:rsidRPr="00883E07" w:rsidTr="00FD775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DF00AA" w:rsidRPr="00883E07" w:rsidRDefault="00944532" w:rsidP="00001F91">
            <w:pPr>
              <w:ind w:left="142"/>
              <w:jc w:val="center"/>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CHILE</w:t>
            </w:r>
          </w:p>
        </w:tc>
        <w:tc>
          <w:tcPr>
            <w:tcW w:w="2585" w:type="dxa"/>
            <w:hideMark/>
          </w:tcPr>
          <w:p w:rsidR="00DF00AA" w:rsidRPr="00883E07" w:rsidRDefault="00944532" w:rsidP="0094453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955 065</w:t>
            </w:r>
          </w:p>
        </w:tc>
      </w:tr>
      <w:tr w:rsidR="00DF00AA" w:rsidRPr="00883E07" w:rsidTr="00FD775E">
        <w:trPr>
          <w:trHeight w:val="205"/>
          <w:jc w:val="center"/>
        </w:trPr>
        <w:tc>
          <w:tcPr>
            <w:cnfStyle w:val="001000000000" w:firstRow="0" w:lastRow="0" w:firstColumn="1" w:lastColumn="0" w:oddVBand="0" w:evenVBand="0" w:oddHBand="0" w:evenHBand="0" w:firstRowFirstColumn="0" w:firstRowLastColumn="0" w:lastRowFirstColumn="0" w:lastRowLastColumn="0"/>
            <w:tcW w:w="2809" w:type="dxa"/>
            <w:hideMark/>
          </w:tcPr>
          <w:p w:rsidR="00DF00AA" w:rsidRPr="00883E07" w:rsidRDefault="00944532" w:rsidP="00224D13">
            <w:pPr>
              <w:ind w:left="142"/>
              <w:jc w:val="center"/>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FILIPINAS</w:t>
            </w:r>
          </w:p>
        </w:tc>
        <w:tc>
          <w:tcPr>
            <w:tcW w:w="2585" w:type="dxa"/>
            <w:hideMark/>
          </w:tcPr>
          <w:p w:rsidR="00DF00AA" w:rsidRPr="00883E07" w:rsidRDefault="00944532" w:rsidP="0094453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6"/>
                <w:szCs w:val="16"/>
                <w:lang w:val="es-PE" w:eastAsia="nb-NO"/>
              </w:rPr>
            </w:pPr>
            <w:r w:rsidRPr="00883E07">
              <w:rPr>
                <w:rFonts w:asciiTheme="majorHAnsi" w:hAnsiTheme="majorHAnsi" w:cs="Arial"/>
                <w:color w:val="auto"/>
                <w:sz w:val="16"/>
                <w:szCs w:val="16"/>
                <w:lang w:eastAsia="nb-NO"/>
              </w:rPr>
              <w:t>767 287</w:t>
            </w:r>
          </w:p>
        </w:tc>
      </w:tr>
    </w:tbl>
    <w:p w:rsidR="00001F91" w:rsidRPr="00883E07" w:rsidRDefault="00DF00AA" w:rsidP="00DF00AA">
      <w:pPr>
        <w:ind w:left="425"/>
        <w:jc w:val="both"/>
        <w:rPr>
          <w:rFonts w:asciiTheme="majorHAnsi" w:hAnsiTheme="majorHAnsi" w:cs="Arial"/>
          <w:b/>
          <w:sz w:val="16"/>
          <w:szCs w:val="16"/>
          <w:lang w:val="es-PE"/>
        </w:rPr>
      </w:pPr>
      <w:r w:rsidRPr="00883E07">
        <w:rPr>
          <w:rFonts w:asciiTheme="majorHAnsi" w:hAnsiTheme="majorHAnsi" w:cs="Arial"/>
          <w:b/>
          <w:sz w:val="16"/>
          <w:szCs w:val="16"/>
          <w:lang w:val="es-PE"/>
        </w:rPr>
        <w:t xml:space="preserve">   </w:t>
      </w:r>
    </w:p>
    <w:p w:rsidR="00DF00AA" w:rsidRPr="00883E07" w:rsidRDefault="00DF00AA" w:rsidP="00944532">
      <w:pPr>
        <w:jc w:val="both"/>
        <w:rPr>
          <w:rFonts w:asciiTheme="majorHAnsi" w:hAnsiTheme="majorHAnsi" w:cs="Arial"/>
          <w:sz w:val="16"/>
          <w:szCs w:val="16"/>
        </w:rPr>
      </w:pPr>
      <w:r w:rsidRPr="00883E07">
        <w:rPr>
          <w:rFonts w:asciiTheme="majorHAnsi" w:hAnsiTheme="majorHAnsi" w:cs="Arial"/>
          <w:sz w:val="16"/>
          <w:szCs w:val="16"/>
        </w:rPr>
        <w:t xml:space="preserve">Fuente: </w:t>
      </w:r>
      <w:proofErr w:type="spellStart"/>
      <w:r w:rsidRPr="00883E07">
        <w:rPr>
          <w:rFonts w:asciiTheme="majorHAnsi" w:hAnsiTheme="majorHAnsi" w:cs="Arial"/>
          <w:sz w:val="16"/>
          <w:szCs w:val="16"/>
        </w:rPr>
        <w:t>Fishstat</w:t>
      </w:r>
      <w:proofErr w:type="spellEnd"/>
      <w:r w:rsidRPr="00883E07">
        <w:rPr>
          <w:rFonts w:asciiTheme="majorHAnsi" w:hAnsiTheme="majorHAnsi" w:cs="Arial"/>
          <w:sz w:val="16"/>
          <w:szCs w:val="16"/>
        </w:rPr>
        <w:t xml:space="preserve"> Plus – FAO</w:t>
      </w:r>
    </w:p>
    <w:p w:rsidR="00DF00AA" w:rsidRPr="00883E07" w:rsidRDefault="00DF00AA" w:rsidP="00944532">
      <w:pPr>
        <w:jc w:val="both"/>
        <w:rPr>
          <w:rFonts w:asciiTheme="majorHAnsi" w:hAnsiTheme="majorHAnsi" w:cs="Arial"/>
          <w:sz w:val="16"/>
          <w:szCs w:val="16"/>
        </w:rPr>
      </w:pPr>
      <w:r w:rsidRPr="00883E07">
        <w:rPr>
          <w:rFonts w:asciiTheme="majorHAnsi" w:hAnsiTheme="majorHAnsi" w:cs="Arial"/>
          <w:sz w:val="16"/>
          <w:szCs w:val="16"/>
        </w:rPr>
        <w:t>No Incluye plantas acuáticas (algas)</w:t>
      </w:r>
    </w:p>
    <w:p w:rsidR="00DF00AA" w:rsidRPr="00883E07" w:rsidRDefault="00DF00AA" w:rsidP="00645C07">
      <w:pPr>
        <w:jc w:val="both"/>
        <w:rPr>
          <w:rFonts w:asciiTheme="majorHAnsi" w:hAnsiTheme="majorHAnsi" w:cs="Arial"/>
          <w:sz w:val="22"/>
          <w:szCs w:val="22"/>
        </w:rPr>
      </w:pPr>
    </w:p>
    <w:p w:rsidR="00E421E9" w:rsidRPr="00883E07" w:rsidRDefault="00E421E9" w:rsidP="00645C07">
      <w:pPr>
        <w:jc w:val="both"/>
        <w:rPr>
          <w:rFonts w:asciiTheme="majorHAnsi" w:hAnsiTheme="majorHAnsi" w:cs="Arial"/>
          <w:sz w:val="22"/>
          <w:szCs w:val="22"/>
        </w:rPr>
      </w:pPr>
    </w:p>
    <w:p w:rsidR="00642250" w:rsidRPr="00883E07" w:rsidRDefault="00642250" w:rsidP="00DB43D6">
      <w:pPr>
        <w:autoSpaceDE w:val="0"/>
        <w:autoSpaceDN w:val="0"/>
        <w:adjustRightInd w:val="0"/>
        <w:rPr>
          <w:rFonts w:asciiTheme="majorHAnsi" w:hAnsiTheme="majorHAnsi" w:cs="Arial"/>
          <w:b/>
          <w:sz w:val="22"/>
          <w:u w:val="single"/>
        </w:rPr>
      </w:pPr>
      <w:r w:rsidRPr="00883E07">
        <w:rPr>
          <w:rFonts w:asciiTheme="majorHAnsi" w:hAnsiTheme="majorHAnsi" w:cs="Arial"/>
          <w:b/>
          <w:sz w:val="22"/>
          <w:u w:val="single"/>
        </w:rPr>
        <w:t>Acuicultura en América Latina y el Caribe</w:t>
      </w:r>
    </w:p>
    <w:p w:rsidR="00642250" w:rsidRPr="00883E07" w:rsidRDefault="00642250" w:rsidP="00944532">
      <w:pPr>
        <w:spacing w:before="240" w:after="240"/>
        <w:jc w:val="both"/>
        <w:rPr>
          <w:rFonts w:asciiTheme="majorHAnsi" w:hAnsiTheme="majorHAnsi" w:cs="Arial"/>
          <w:sz w:val="22"/>
          <w:szCs w:val="22"/>
        </w:rPr>
      </w:pPr>
      <w:r w:rsidRPr="00883E07">
        <w:rPr>
          <w:rFonts w:asciiTheme="majorHAnsi" w:hAnsiTheme="majorHAnsi" w:cs="Arial"/>
          <w:sz w:val="22"/>
          <w:szCs w:val="22"/>
        </w:rPr>
        <w:t>La producción acuícola en 2011 en América Latina y el Caribe (ALC) según la FAO habría alcanzado poco más de 2.3</w:t>
      </w:r>
      <w:r w:rsidR="003D353B" w:rsidRPr="00883E07">
        <w:rPr>
          <w:rFonts w:asciiTheme="majorHAnsi" w:hAnsiTheme="majorHAnsi" w:cs="Arial"/>
          <w:sz w:val="22"/>
          <w:szCs w:val="22"/>
        </w:rPr>
        <w:t>9</w:t>
      </w:r>
      <w:r w:rsidRPr="00883E07">
        <w:rPr>
          <w:rFonts w:asciiTheme="majorHAnsi" w:hAnsiTheme="majorHAnsi" w:cs="Arial"/>
          <w:sz w:val="22"/>
          <w:szCs w:val="22"/>
        </w:rPr>
        <w:t xml:space="preserve"> millones de t con un valor estimado en 11</w:t>
      </w:r>
      <w:r w:rsidR="003D353B" w:rsidRPr="00883E07">
        <w:rPr>
          <w:rFonts w:asciiTheme="majorHAnsi" w:hAnsiTheme="majorHAnsi" w:cs="Arial"/>
          <w:sz w:val="22"/>
          <w:szCs w:val="22"/>
        </w:rPr>
        <w:t xml:space="preserve"> </w:t>
      </w:r>
      <w:r w:rsidRPr="00883E07">
        <w:rPr>
          <w:rFonts w:asciiTheme="majorHAnsi" w:hAnsiTheme="majorHAnsi" w:cs="Arial"/>
          <w:sz w:val="22"/>
          <w:szCs w:val="22"/>
        </w:rPr>
        <w:t>12</w:t>
      </w:r>
      <w:r w:rsidR="003D353B" w:rsidRPr="00883E07">
        <w:rPr>
          <w:rFonts w:asciiTheme="majorHAnsi" w:hAnsiTheme="majorHAnsi" w:cs="Arial"/>
          <w:sz w:val="22"/>
          <w:szCs w:val="22"/>
        </w:rPr>
        <w:t>5</w:t>
      </w:r>
      <w:r w:rsidRPr="00883E07">
        <w:rPr>
          <w:rFonts w:asciiTheme="majorHAnsi" w:hAnsiTheme="majorHAnsi" w:cs="Arial"/>
          <w:sz w:val="22"/>
          <w:szCs w:val="22"/>
        </w:rPr>
        <w:t xml:space="preserve"> millones de dólares, determinando un crecimiento anual de 8.01% en el periodo 2000 - 2011, siendo Chile con los salmones y truchas, Brasil con la tilapia, cachama y langostino, México con langostino, Ecuador con el langostino y Perú con la concha de abanico, langostino y trucha arco iris, los principales productores, con el 89</w:t>
      </w:r>
      <w:r w:rsidR="003D353B" w:rsidRPr="00883E07">
        <w:rPr>
          <w:rFonts w:asciiTheme="majorHAnsi" w:hAnsiTheme="majorHAnsi" w:cs="Arial"/>
          <w:sz w:val="22"/>
          <w:szCs w:val="22"/>
        </w:rPr>
        <w:t xml:space="preserve"> </w:t>
      </w:r>
      <w:r w:rsidRPr="00883E07">
        <w:rPr>
          <w:rFonts w:asciiTheme="majorHAnsi" w:hAnsiTheme="majorHAnsi" w:cs="Arial"/>
          <w:sz w:val="22"/>
          <w:szCs w:val="22"/>
        </w:rPr>
        <w:t xml:space="preserve">% de la producción. Se estima que para el 2015 empleando la tasa de crecimiento, la producción acuícola podría alcanzar los 3.31 millones de t, siendo que dicho crecimiento podría darse teniendo en cuenta las ventajas comparativas que tiene la región para el desarrollo de la acuicultura frente a otras regiones (Asia; Europa, Norte América, etc.), como son la disponibilidad de tierra y agua para la expansión de la actividad, zonas marino costeras con muy baja presión y potencial para el crecimiento de la maricultura, adaptación de tecnologías para cultivos intensivos en diversas especies acuícolas, el crecimiento de los mercados internos y el diseño de políticas adecuadas aplicables a la acuicultura. Es importante indicar que la acuicultura </w:t>
      </w:r>
      <w:r w:rsidRPr="00883E07">
        <w:rPr>
          <w:rFonts w:asciiTheme="majorHAnsi" w:hAnsiTheme="majorHAnsi" w:cs="Arial"/>
          <w:sz w:val="22"/>
          <w:szCs w:val="22"/>
        </w:rPr>
        <w:lastRenderedPageBreak/>
        <w:t xml:space="preserve">peruana en 2011 </w:t>
      </w:r>
      <w:r w:rsidR="00EE5348" w:rsidRPr="00883E07">
        <w:rPr>
          <w:rFonts w:asciiTheme="majorHAnsi" w:hAnsiTheme="majorHAnsi" w:cs="Arial"/>
          <w:sz w:val="22"/>
          <w:szCs w:val="22"/>
        </w:rPr>
        <w:t>alcanzó</w:t>
      </w:r>
      <w:r w:rsidRPr="00883E07">
        <w:rPr>
          <w:rFonts w:asciiTheme="majorHAnsi" w:hAnsiTheme="majorHAnsi" w:cs="Arial"/>
          <w:sz w:val="22"/>
          <w:szCs w:val="22"/>
        </w:rPr>
        <w:t xml:space="preserve"> las 92.2 mil t ubicándolo ello en el 5to lugar entre los países productores de acuicultura en América Latina y El Caribe, después de México y teniendo un crecimiento anual a una tasa de 20%, siendo ello superior al promedio re</w:t>
      </w:r>
      <w:r w:rsidR="00FD775E" w:rsidRPr="00883E07">
        <w:rPr>
          <w:rFonts w:asciiTheme="majorHAnsi" w:hAnsiTheme="majorHAnsi" w:cs="Arial"/>
          <w:sz w:val="22"/>
          <w:szCs w:val="22"/>
        </w:rPr>
        <w:t>gional y al de los demás países; sin embargo, los niveles de cosecha comparados con México y Ecuador aún son mucho menores.</w:t>
      </w:r>
    </w:p>
    <w:p w:rsidR="00FD775E" w:rsidRPr="00883E07" w:rsidRDefault="00FD775E" w:rsidP="00FD775E">
      <w:pPr>
        <w:pStyle w:val="EstiloEpgrafeCentrado"/>
        <w:suppressAutoHyphens/>
        <w:spacing w:before="0" w:after="0"/>
        <w:jc w:val="left"/>
        <w:rPr>
          <w:rFonts w:asciiTheme="majorHAnsi" w:hAnsiTheme="majorHAnsi"/>
          <w:sz w:val="22"/>
          <w:szCs w:val="22"/>
        </w:rPr>
      </w:pPr>
      <w:r w:rsidRPr="00883E07">
        <w:rPr>
          <w:rFonts w:asciiTheme="majorHAnsi" w:hAnsiTheme="majorHAnsi"/>
          <w:sz w:val="22"/>
          <w:szCs w:val="22"/>
        </w:rPr>
        <w:t>Tabla 02. Principales países en acuicultura en América Latina y El Caribe 2011</w:t>
      </w:r>
    </w:p>
    <w:p w:rsidR="00FD775E" w:rsidRPr="00883E07" w:rsidRDefault="00FD775E" w:rsidP="00FD775E">
      <w:pPr>
        <w:pStyle w:val="EstiloEpgrafeCentrado"/>
        <w:suppressAutoHyphens/>
        <w:spacing w:before="0" w:after="0"/>
        <w:rPr>
          <w:rFonts w:asciiTheme="majorHAnsi" w:hAnsiTheme="majorHAnsi"/>
          <w:sz w:val="22"/>
          <w:szCs w:val="22"/>
        </w:rPr>
      </w:pPr>
    </w:p>
    <w:tbl>
      <w:tblPr>
        <w:tblW w:w="7519" w:type="dxa"/>
        <w:jc w:val="center"/>
        <w:tblCellMar>
          <w:left w:w="0" w:type="dxa"/>
          <w:right w:w="0" w:type="dxa"/>
        </w:tblCellMar>
        <w:tblLook w:val="04A0" w:firstRow="1" w:lastRow="0" w:firstColumn="1" w:lastColumn="0" w:noHBand="0" w:noVBand="1"/>
      </w:tblPr>
      <w:tblGrid>
        <w:gridCol w:w="494"/>
        <w:gridCol w:w="1105"/>
        <w:gridCol w:w="1183"/>
        <w:gridCol w:w="1184"/>
        <w:gridCol w:w="1184"/>
        <w:gridCol w:w="1184"/>
        <w:gridCol w:w="1185"/>
      </w:tblGrid>
      <w:tr w:rsidR="003D353B" w:rsidRPr="00883E07" w:rsidTr="00FD775E">
        <w:trPr>
          <w:trHeight w:val="182"/>
          <w:jc w:val="center"/>
        </w:trPr>
        <w:tc>
          <w:tcPr>
            <w:tcW w:w="494" w:type="dxa"/>
            <w:tcBorders>
              <w:top w:val="nil"/>
              <w:left w:val="nil"/>
              <w:bottom w:val="nil"/>
              <w:right w:val="nil"/>
            </w:tcBorders>
            <w:shd w:val="clear" w:color="auto" w:fill="404040"/>
            <w:tcMar>
              <w:top w:w="12" w:type="dxa"/>
              <w:left w:w="12" w:type="dxa"/>
              <w:bottom w:w="0" w:type="dxa"/>
              <w:right w:w="12" w:type="dxa"/>
            </w:tcMar>
            <w:vAlign w:val="bottom"/>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N°</w:t>
            </w:r>
          </w:p>
        </w:tc>
        <w:tc>
          <w:tcPr>
            <w:tcW w:w="1105" w:type="dxa"/>
            <w:tcBorders>
              <w:top w:val="nil"/>
              <w:left w:val="nil"/>
              <w:bottom w:val="nil"/>
              <w:right w:val="nil"/>
            </w:tcBorders>
            <w:shd w:val="clear" w:color="auto" w:fill="404040"/>
            <w:tcMar>
              <w:top w:w="12" w:type="dxa"/>
              <w:left w:w="12" w:type="dxa"/>
              <w:bottom w:w="0" w:type="dxa"/>
              <w:right w:w="12" w:type="dxa"/>
            </w:tcMar>
            <w:vAlign w:val="bottom"/>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País</w:t>
            </w:r>
          </w:p>
        </w:tc>
        <w:tc>
          <w:tcPr>
            <w:tcW w:w="1183" w:type="dxa"/>
            <w:tcBorders>
              <w:top w:val="nil"/>
              <w:left w:val="nil"/>
              <w:bottom w:val="nil"/>
              <w:right w:val="nil"/>
            </w:tcBorders>
            <w:shd w:val="clear" w:color="auto" w:fill="40404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2000 </w:t>
            </w:r>
          </w:p>
        </w:tc>
        <w:tc>
          <w:tcPr>
            <w:tcW w:w="1184" w:type="dxa"/>
            <w:tcBorders>
              <w:top w:val="nil"/>
              <w:left w:val="nil"/>
              <w:bottom w:val="nil"/>
              <w:right w:val="nil"/>
            </w:tcBorders>
            <w:shd w:val="clear" w:color="auto" w:fill="40404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2008</w:t>
            </w:r>
          </w:p>
        </w:tc>
        <w:tc>
          <w:tcPr>
            <w:tcW w:w="1184" w:type="dxa"/>
            <w:tcBorders>
              <w:top w:val="nil"/>
              <w:left w:val="nil"/>
              <w:bottom w:val="nil"/>
              <w:right w:val="nil"/>
            </w:tcBorders>
            <w:shd w:val="clear" w:color="auto" w:fill="40404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2009</w:t>
            </w:r>
          </w:p>
        </w:tc>
        <w:tc>
          <w:tcPr>
            <w:tcW w:w="1184" w:type="dxa"/>
            <w:tcBorders>
              <w:top w:val="nil"/>
              <w:left w:val="nil"/>
              <w:bottom w:val="nil"/>
              <w:right w:val="nil"/>
            </w:tcBorders>
            <w:shd w:val="clear" w:color="auto" w:fill="40404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2010</w:t>
            </w:r>
          </w:p>
        </w:tc>
        <w:tc>
          <w:tcPr>
            <w:tcW w:w="1185" w:type="dxa"/>
            <w:tcBorders>
              <w:top w:val="nil"/>
              <w:left w:val="nil"/>
              <w:bottom w:val="nil"/>
              <w:right w:val="nil"/>
            </w:tcBorders>
            <w:shd w:val="clear" w:color="auto" w:fill="40404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2011</w:t>
            </w:r>
          </w:p>
        </w:tc>
      </w:tr>
      <w:tr w:rsidR="003D353B" w:rsidRPr="00883E07" w:rsidTr="00FD775E">
        <w:trPr>
          <w:trHeight w:val="112"/>
          <w:jc w:val="center"/>
        </w:trPr>
        <w:tc>
          <w:tcPr>
            <w:tcW w:w="49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1</w:t>
            </w:r>
          </w:p>
        </w:tc>
        <w:tc>
          <w:tcPr>
            <w:tcW w:w="1105"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Chile</w:t>
            </w:r>
          </w:p>
        </w:tc>
        <w:tc>
          <w:tcPr>
            <w:tcW w:w="1183"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425,058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870,845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881,084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713,241 </w:t>
            </w:r>
          </w:p>
        </w:tc>
        <w:tc>
          <w:tcPr>
            <w:tcW w:w="1185"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969,539 </w:t>
            </w:r>
          </w:p>
        </w:tc>
      </w:tr>
      <w:tr w:rsidR="003D353B" w:rsidRPr="00883E07" w:rsidTr="00FD775E">
        <w:trPr>
          <w:trHeight w:val="62"/>
          <w:jc w:val="center"/>
        </w:trPr>
        <w:tc>
          <w:tcPr>
            <w:tcW w:w="49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2</w:t>
            </w:r>
          </w:p>
        </w:tc>
        <w:tc>
          <w:tcPr>
            <w:tcW w:w="1105"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Brasil</w:t>
            </w:r>
          </w:p>
        </w:tc>
        <w:tc>
          <w:tcPr>
            <w:tcW w:w="1183"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172,450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365,677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416,206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480,129 </w:t>
            </w:r>
          </w:p>
        </w:tc>
        <w:tc>
          <w:tcPr>
            <w:tcW w:w="1185"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630,039 </w:t>
            </w:r>
          </w:p>
        </w:tc>
      </w:tr>
      <w:tr w:rsidR="003D353B" w:rsidRPr="00883E07" w:rsidTr="00FD775E">
        <w:trPr>
          <w:trHeight w:val="62"/>
          <w:jc w:val="center"/>
        </w:trPr>
        <w:tc>
          <w:tcPr>
            <w:tcW w:w="49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3</w:t>
            </w:r>
          </w:p>
        </w:tc>
        <w:tc>
          <w:tcPr>
            <w:tcW w:w="1105"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Ecuador</w:t>
            </w:r>
          </w:p>
        </w:tc>
        <w:tc>
          <w:tcPr>
            <w:tcW w:w="1183"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61,311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172,120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218,361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271,919 </w:t>
            </w:r>
          </w:p>
        </w:tc>
        <w:tc>
          <w:tcPr>
            <w:tcW w:w="1185"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308,900 </w:t>
            </w:r>
          </w:p>
        </w:tc>
      </w:tr>
      <w:tr w:rsidR="003D353B" w:rsidRPr="00883E07" w:rsidTr="00FD775E">
        <w:trPr>
          <w:trHeight w:val="62"/>
          <w:jc w:val="center"/>
        </w:trPr>
        <w:tc>
          <w:tcPr>
            <w:tcW w:w="494" w:type="dxa"/>
            <w:tcBorders>
              <w:top w:val="nil"/>
              <w:left w:val="nil"/>
              <w:bottom w:val="single" w:sz="8" w:space="0" w:color="FF0000"/>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4</w:t>
            </w:r>
          </w:p>
        </w:tc>
        <w:tc>
          <w:tcPr>
            <w:tcW w:w="1105" w:type="dxa"/>
            <w:tcBorders>
              <w:top w:val="nil"/>
              <w:left w:val="nil"/>
              <w:bottom w:val="single" w:sz="8" w:space="0" w:color="FF0000"/>
              <w:right w:val="nil"/>
            </w:tcBorders>
            <w:shd w:val="clear" w:color="auto" w:fill="auto"/>
            <w:tcMar>
              <w:top w:w="12" w:type="dxa"/>
              <w:left w:w="12" w:type="dxa"/>
              <w:bottom w:w="0" w:type="dxa"/>
              <w:right w:w="12" w:type="dxa"/>
            </w:tcMar>
            <w:vAlign w:val="center"/>
            <w:hideMark/>
          </w:tcPr>
          <w:p w:rsidR="003D353B" w:rsidRPr="00883E07" w:rsidRDefault="003D353B" w:rsidP="003D353B">
            <w:pP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México</w:t>
            </w:r>
          </w:p>
        </w:tc>
        <w:tc>
          <w:tcPr>
            <w:tcW w:w="1183" w:type="dxa"/>
            <w:tcBorders>
              <w:top w:val="nil"/>
              <w:left w:val="nil"/>
              <w:bottom w:val="single" w:sz="8" w:space="0" w:color="FF0000"/>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53,918 </w:t>
            </w:r>
          </w:p>
        </w:tc>
        <w:tc>
          <w:tcPr>
            <w:tcW w:w="1184" w:type="dxa"/>
            <w:tcBorders>
              <w:top w:val="nil"/>
              <w:left w:val="nil"/>
              <w:bottom w:val="single" w:sz="8" w:space="0" w:color="FF0000"/>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159,309 </w:t>
            </w:r>
          </w:p>
        </w:tc>
        <w:tc>
          <w:tcPr>
            <w:tcW w:w="1184" w:type="dxa"/>
            <w:tcBorders>
              <w:top w:val="nil"/>
              <w:left w:val="nil"/>
              <w:bottom w:val="single" w:sz="8" w:space="0" w:color="FF0000"/>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156,957 </w:t>
            </w:r>
          </w:p>
        </w:tc>
        <w:tc>
          <w:tcPr>
            <w:tcW w:w="1184" w:type="dxa"/>
            <w:tcBorders>
              <w:top w:val="nil"/>
              <w:left w:val="nil"/>
              <w:bottom w:val="single" w:sz="8" w:space="0" w:color="FF0000"/>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126,240 </w:t>
            </w:r>
          </w:p>
        </w:tc>
        <w:tc>
          <w:tcPr>
            <w:tcW w:w="1185" w:type="dxa"/>
            <w:tcBorders>
              <w:top w:val="nil"/>
              <w:left w:val="nil"/>
              <w:bottom w:val="single" w:sz="8" w:space="0" w:color="FF0000"/>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137,130 </w:t>
            </w:r>
          </w:p>
        </w:tc>
      </w:tr>
      <w:tr w:rsidR="003D353B" w:rsidRPr="00883E07" w:rsidTr="00FD775E">
        <w:trPr>
          <w:trHeight w:val="42"/>
          <w:jc w:val="center"/>
        </w:trPr>
        <w:tc>
          <w:tcPr>
            <w:tcW w:w="494" w:type="dxa"/>
            <w:tcBorders>
              <w:top w:val="single" w:sz="8" w:space="0" w:color="FF0000"/>
              <w:left w:val="single" w:sz="8" w:space="0" w:color="FF0000"/>
              <w:bottom w:val="single" w:sz="8" w:space="0" w:color="FF0000"/>
              <w:right w:val="nil"/>
            </w:tcBorders>
            <w:shd w:val="clear" w:color="auto" w:fill="FFFF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5</w:t>
            </w:r>
          </w:p>
        </w:tc>
        <w:tc>
          <w:tcPr>
            <w:tcW w:w="1105" w:type="dxa"/>
            <w:tcBorders>
              <w:top w:val="single" w:sz="8" w:space="0" w:color="FF0000"/>
              <w:left w:val="nil"/>
              <w:bottom w:val="single" w:sz="8" w:space="0" w:color="FF0000"/>
              <w:right w:val="nil"/>
            </w:tcBorders>
            <w:shd w:val="clear" w:color="auto" w:fill="FFFF00"/>
            <w:tcMar>
              <w:top w:w="12" w:type="dxa"/>
              <w:left w:w="12" w:type="dxa"/>
              <w:bottom w:w="0" w:type="dxa"/>
              <w:right w:w="12" w:type="dxa"/>
            </w:tcMar>
            <w:vAlign w:val="center"/>
            <w:hideMark/>
          </w:tcPr>
          <w:p w:rsidR="003D353B" w:rsidRPr="00883E07" w:rsidRDefault="003D353B" w:rsidP="003D353B">
            <w:pP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Perú</w:t>
            </w:r>
          </w:p>
        </w:tc>
        <w:tc>
          <w:tcPr>
            <w:tcW w:w="1183" w:type="dxa"/>
            <w:tcBorders>
              <w:top w:val="single" w:sz="8" w:space="0" w:color="FF0000"/>
              <w:left w:val="nil"/>
              <w:bottom w:val="single" w:sz="8" w:space="0" w:color="FF0000"/>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6,596 </w:t>
            </w:r>
          </w:p>
        </w:tc>
        <w:tc>
          <w:tcPr>
            <w:tcW w:w="1184" w:type="dxa"/>
            <w:tcBorders>
              <w:top w:val="single" w:sz="8" w:space="0" w:color="FF0000"/>
              <w:left w:val="nil"/>
              <w:bottom w:val="single" w:sz="8" w:space="0" w:color="FF0000"/>
              <w:right w:val="nil"/>
            </w:tcBorders>
            <w:shd w:val="clear" w:color="auto" w:fill="FFFF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43,103 </w:t>
            </w:r>
          </w:p>
        </w:tc>
        <w:tc>
          <w:tcPr>
            <w:tcW w:w="1184" w:type="dxa"/>
            <w:tcBorders>
              <w:top w:val="single" w:sz="8" w:space="0" w:color="FF0000"/>
              <w:left w:val="nil"/>
              <w:bottom w:val="single" w:sz="8" w:space="0" w:color="FF0000"/>
              <w:right w:val="nil"/>
            </w:tcBorders>
            <w:shd w:val="clear" w:color="auto" w:fill="FFFF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44,317 </w:t>
            </w:r>
          </w:p>
        </w:tc>
        <w:tc>
          <w:tcPr>
            <w:tcW w:w="1184" w:type="dxa"/>
            <w:tcBorders>
              <w:top w:val="single" w:sz="8" w:space="0" w:color="FF0000"/>
              <w:left w:val="nil"/>
              <w:bottom w:val="single" w:sz="8" w:space="0" w:color="FF0000"/>
              <w:right w:val="nil"/>
            </w:tcBorders>
            <w:shd w:val="clear" w:color="auto" w:fill="FFFF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89,021 </w:t>
            </w:r>
          </w:p>
        </w:tc>
        <w:tc>
          <w:tcPr>
            <w:tcW w:w="1185" w:type="dxa"/>
            <w:tcBorders>
              <w:top w:val="single" w:sz="8" w:space="0" w:color="FF0000"/>
              <w:left w:val="nil"/>
              <w:bottom w:val="single" w:sz="8" w:space="0" w:color="FF0000"/>
              <w:right w:val="single" w:sz="8" w:space="0" w:color="FF0000"/>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92,201 </w:t>
            </w:r>
          </w:p>
        </w:tc>
      </w:tr>
      <w:tr w:rsidR="003D353B" w:rsidRPr="00883E07" w:rsidTr="00FD775E">
        <w:trPr>
          <w:trHeight w:val="42"/>
          <w:jc w:val="center"/>
        </w:trPr>
        <w:tc>
          <w:tcPr>
            <w:tcW w:w="494" w:type="dxa"/>
            <w:tcBorders>
              <w:top w:val="single" w:sz="8" w:space="0" w:color="FF0000"/>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6</w:t>
            </w:r>
          </w:p>
        </w:tc>
        <w:tc>
          <w:tcPr>
            <w:tcW w:w="1105" w:type="dxa"/>
            <w:tcBorders>
              <w:top w:val="single" w:sz="8" w:space="0" w:color="FF0000"/>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Colombia</w:t>
            </w:r>
          </w:p>
        </w:tc>
        <w:tc>
          <w:tcPr>
            <w:tcW w:w="1183" w:type="dxa"/>
            <w:tcBorders>
              <w:top w:val="single" w:sz="8" w:space="0" w:color="FF0000"/>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61,786 </w:t>
            </w:r>
          </w:p>
        </w:tc>
        <w:tc>
          <w:tcPr>
            <w:tcW w:w="1184" w:type="dxa"/>
            <w:tcBorders>
              <w:top w:val="single" w:sz="8" w:space="0" w:color="FF0000"/>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68,200 </w:t>
            </w:r>
          </w:p>
        </w:tc>
        <w:tc>
          <w:tcPr>
            <w:tcW w:w="1184" w:type="dxa"/>
            <w:tcBorders>
              <w:top w:val="single" w:sz="8" w:space="0" w:color="FF0000"/>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80,863 </w:t>
            </w:r>
          </w:p>
        </w:tc>
        <w:tc>
          <w:tcPr>
            <w:tcW w:w="1184" w:type="dxa"/>
            <w:tcBorders>
              <w:top w:val="single" w:sz="8" w:space="0" w:color="FF0000"/>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80,367 </w:t>
            </w:r>
          </w:p>
        </w:tc>
        <w:tc>
          <w:tcPr>
            <w:tcW w:w="1185" w:type="dxa"/>
            <w:tcBorders>
              <w:top w:val="single" w:sz="8" w:space="0" w:color="FF0000"/>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83,681 </w:t>
            </w:r>
          </w:p>
        </w:tc>
      </w:tr>
      <w:tr w:rsidR="003D353B" w:rsidRPr="00883E07" w:rsidTr="00FD775E">
        <w:trPr>
          <w:trHeight w:val="62"/>
          <w:jc w:val="center"/>
        </w:trPr>
        <w:tc>
          <w:tcPr>
            <w:tcW w:w="49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7</w:t>
            </w:r>
          </w:p>
        </w:tc>
        <w:tc>
          <w:tcPr>
            <w:tcW w:w="1105"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Cuba</w:t>
            </w:r>
          </w:p>
        </w:tc>
        <w:tc>
          <w:tcPr>
            <w:tcW w:w="1183"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32,780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36,685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36,002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31,422 </w:t>
            </w:r>
          </w:p>
        </w:tc>
        <w:tc>
          <w:tcPr>
            <w:tcW w:w="1185"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24,597 </w:t>
            </w:r>
          </w:p>
        </w:tc>
      </w:tr>
      <w:tr w:rsidR="003D353B" w:rsidRPr="00883E07" w:rsidTr="00FD775E">
        <w:trPr>
          <w:trHeight w:val="62"/>
          <w:jc w:val="center"/>
        </w:trPr>
        <w:tc>
          <w:tcPr>
            <w:tcW w:w="49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8</w:t>
            </w:r>
          </w:p>
        </w:tc>
        <w:tc>
          <w:tcPr>
            <w:tcW w:w="1105"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Honduras</w:t>
            </w:r>
          </w:p>
        </w:tc>
        <w:tc>
          <w:tcPr>
            <w:tcW w:w="1183"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10,053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47,080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28,858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27,509 </w:t>
            </w:r>
          </w:p>
        </w:tc>
        <w:tc>
          <w:tcPr>
            <w:tcW w:w="1185"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36,960 </w:t>
            </w:r>
          </w:p>
        </w:tc>
      </w:tr>
      <w:tr w:rsidR="003D353B" w:rsidRPr="00883E07" w:rsidTr="00FD775E">
        <w:trPr>
          <w:trHeight w:val="62"/>
          <w:jc w:val="center"/>
        </w:trPr>
        <w:tc>
          <w:tcPr>
            <w:tcW w:w="49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9</w:t>
            </w:r>
          </w:p>
        </w:tc>
        <w:tc>
          <w:tcPr>
            <w:tcW w:w="1105"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Otros</w:t>
            </w:r>
          </w:p>
        </w:tc>
        <w:tc>
          <w:tcPr>
            <w:tcW w:w="1183"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48,563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110,610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104,709 </w:t>
            </w:r>
          </w:p>
        </w:tc>
        <w:tc>
          <w:tcPr>
            <w:tcW w:w="1184" w:type="dxa"/>
            <w:tcBorders>
              <w:top w:val="nil"/>
              <w:left w:val="nil"/>
              <w:bottom w:val="nil"/>
              <w:right w:val="nil"/>
            </w:tcBorders>
            <w:shd w:val="clear" w:color="auto" w:fill="auto"/>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113,068 </w:t>
            </w:r>
          </w:p>
        </w:tc>
        <w:tc>
          <w:tcPr>
            <w:tcW w:w="1185" w:type="dxa"/>
            <w:tcBorders>
              <w:top w:val="nil"/>
              <w:left w:val="nil"/>
              <w:bottom w:val="nil"/>
              <w:right w:val="nil"/>
            </w:tcBorders>
            <w:shd w:val="clear" w:color="auto" w:fill="FFF0C9"/>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000000"/>
                <w:kern w:val="24"/>
                <w:sz w:val="16"/>
                <w:szCs w:val="16"/>
                <w:lang w:eastAsia="es-PE"/>
              </w:rPr>
              <w:t xml:space="preserve">113,945 </w:t>
            </w:r>
          </w:p>
        </w:tc>
      </w:tr>
      <w:tr w:rsidR="003D353B" w:rsidRPr="00883E07" w:rsidTr="00FD775E">
        <w:trPr>
          <w:trHeight w:val="62"/>
          <w:jc w:val="center"/>
        </w:trPr>
        <w:tc>
          <w:tcPr>
            <w:tcW w:w="1599" w:type="dxa"/>
            <w:gridSpan w:val="2"/>
            <w:tcBorders>
              <w:top w:val="nil"/>
              <w:left w:val="nil"/>
              <w:bottom w:val="nil"/>
              <w:right w:val="nil"/>
            </w:tcBorders>
            <w:shd w:val="clear" w:color="auto" w:fill="C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TOTAL </w:t>
            </w:r>
          </w:p>
        </w:tc>
        <w:tc>
          <w:tcPr>
            <w:tcW w:w="1183" w:type="dxa"/>
            <w:tcBorders>
              <w:top w:val="nil"/>
              <w:left w:val="nil"/>
              <w:bottom w:val="nil"/>
              <w:right w:val="nil"/>
            </w:tcBorders>
            <w:shd w:val="clear" w:color="auto" w:fill="C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872,515 </w:t>
            </w:r>
          </w:p>
        </w:tc>
        <w:tc>
          <w:tcPr>
            <w:tcW w:w="1184" w:type="dxa"/>
            <w:tcBorders>
              <w:top w:val="nil"/>
              <w:left w:val="nil"/>
              <w:bottom w:val="nil"/>
              <w:right w:val="nil"/>
            </w:tcBorders>
            <w:shd w:val="clear" w:color="auto" w:fill="C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     1,873,629 </w:t>
            </w:r>
          </w:p>
        </w:tc>
        <w:tc>
          <w:tcPr>
            <w:tcW w:w="1184" w:type="dxa"/>
            <w:tcBorders>
              <w:top w:val="nil"/>
              <w:left w:val="nil"/>
              <w:bottom w:val="nil"/>
              <w:right w:val="nil"/>
            </w:tcBorders>
            <w:shd w:val="clear" w:color="auto" w:fill="C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1,967,357 </w:t>
            </w:r>
          </w:p>
        </w:tc>
        <w:tc>
          <w:tcPr>
            <w:tcW w:w="1184" w:type="dxa"/>
            <w:tcBorders>
              <w:top w:val="nil"/>
              <w:left w:val="nil"/>
              <w:bottom w:val="nil"/>
              <w:right w:val="nil"/>
            </w:tcBorders>
            <w:shd w:val="clear" w:color="auto" w:fill="C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1,932,916 </w:t>
            </w:r>
          </w:p>
        </w:tc>
        <w:tc>
          <w:tcPr>
            <w:tcW w:w="1185" w:type="dxa"/>
            <w:tcBorders>
              <w:top w:val="nil"/>
              <w:left w:val="nil"/>
              <w:bottom w:val="nil"/>
              <w:right w:val="nil"/>
            </w:tcBorders>
            <w:shd w:val="clear" w:color="auto" w:fill="C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2,396,992 </w:t>
            </w:r>
          </w:p>
        </w:tc>
      </w:tr>
      <w:tr w:rsidR="003D353B" w:rsidRPr="00883E07" w:rsidTr="00FD775E">
        <w:trPr>
          <w:trHeight w:val="62"/>
          <w:jc w:val="center"/>
        </w:trPr>
        <w:tc>
          <w:tcPr>
            <w:tcW w:w="1599" w:type="dxa"/>
            <w:gridSpan w:val="2"/>
            <w:tcBorders>
              <w:top w:val="nil"/>
              <w:left w:val="nil"/>
              <w:bottom w:val="nil"/>
              <w:right w:val="nil"/>
            </w:tcBorders>
            <w:shd w:val="clear" w:color="auto" w:fill="000000"/>
            <w:tcMar>
              <w:top w:w="12" w:type="dxa"/>
              <w:left w:w="12" w:type="dxa"/>
              <w:bottom w:w="0" w:type="dxa"/>
              <w:right w:w="12" w:type="dxa"/>
            </w:tcMar>
            <w:vAlign w:val="bottom"/>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Puesto de Perú  en ALC </w:t>
            </w:r>
          </w:p>
        </w:tc>
        <w:tc>
          <w:tcPr>
            <w:tcW w:w="1183" w:type="dxa"/>
            <w:tcBorders>
              <w:top w:val="nil"/>
              <w:left w:val="nil"/>
              <w:bottom w:val="nil"/>
              <w:right w:val="nil"/>
            </w:tcBorders>
            <w:shd w:val="clear" w:color="auto" w:fill="0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shadow/>
                <w:color w:val="FFFFFF"/>
                <w:kern w:val="24"/>
                <w:sz w:val="16"/>
                <w:szCs w:val="16"/>
                <w:lang w:eastAsia="es-PE"/>
              </w:rPr>
              <w:t xml:space="preserve">13 </w:t>
            </w:r>
          </w:p>
        </w:tc>
        <w:tc>
          <w:tcPr>
            <w:tcW w:w="1184" w:type="dxa"/>
            <w:tcBorders>
              <w:top w:val="nil"/>
              <w:left w:val="nil"/>
              <w:bottom w:val="nil"/>
              <w:right w:val="nil"/>
            </w:tcBorders>
            <w:shd w:val="clear" w:color="auto" w:fill="0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10 </w:t>
            </w:r>
          </w:p>
        </w:tc>
        <w:tc>
          <w:tcPr>
            <w:tcW w:w="1184" w:type="dxa"/>
            <w:tcBorders>
              <w:top w:val="nil"/>
              <w:left w:val="nil"/>
              <w:bottom w:val="nil"/>
              <w:right w:val="nil"/>
            </w:tcBorders>
            <w:shd w:val="clear" w:color="auto" w:fill="0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6 </w:t>
            </w:r>
          </w:p>
        </w:tc>
        <w:tc>
          <w:tcPr>
            <w:tcW w:w="1184" w:type="dxa"/>
            <w:tcBorders>
              <w:top w:val="nil"/>
              <w:left w:val="nil"/>
              <w:bottom w:val="nil"/>
              <w:right w:val="nil"/>
            </w:tcBorders>
            <w:shd w:val="clear" w:color="auto" w:fill="0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color w:val="FFFFFF"/>
                <w:kern w:val="24"/>
                <w:sz w:val="16"/>
                <w:szCs w:val="16"/>
                <w:lang w:eastAsia="es-PE"/>
              </w:rPr>
              <w:t xml:space="preserve">5 </w:t>
            </w:r>
          </w:p>
        </w:tc>
        <w:tc>
          <w:tcPr>
            <w:tcW w:w="1185" w:type="dxa"/>
            <w:tcBorders>
              <w:top w:val="nil"/>
              <w:left w:val="nil"/>
              <w:bottom w:val="nil"/>
              <w:right w:val="nil"/>
            </w:tcBorders>
            <w:shd w:val="clear" w:color="auto" w:fill="000000"/>
            <w:tcMar>
              <w:top w:w="12" w:type="dxa"/>
              <w:left w:w="12" w:type="dxa"/>
              <w:bottom w:w="0" w:type="dxa"/>
              <w:right w:w="12" w:type="dxa"/>
            </w:tcMar>
            <w:vAlign w:val="center"/>
            <w:hideMark/>
          </w:tcPr>
          <w:p w:rsidR="003D353B" w:rsidRPr="00883E07" w:rsidRDefault="003D353B" w:rsidP="003D353B">
            <w:pPr>
              <w:jc w:val="center"/>
              <w:textAlignment w:val="bottom"/>
              <w:rPr>
                <w:rFonts w:asciiTheme="majorHAnsi" w:hAnsiTheme="majorHAnsi" w:cs="Arial"/>
                <w:sz w:val="16"/>
                <w:szCs w:val="16"/>
                <w:lang w:val="es-PE" w:eastAsia="es-PE"/>
              </w:rPr>
            </w:pPr>
            <w:r w:rsidRPr="00883E07">
              <w:rPr>
                <w:rFonts w:asciiTheme="majorHAnsi" w:hAnsiTheme="majorHAnsi" w:cs="Arial"/>
                <w:b/>
                <w:bCs/>
                <w:shadow/>
                <w:color w:val="FFFFFF"/>
                <w:kern w:val="24"/>
                <w:sz w:val="16"/>
                <w:szCs w:val="16"/>
                <w:lang w:eastAsia="es-PE"/>
              </w:rPr>
              <w:t xml:space="preserve">5 </w:t>
            </w:r>
          </w:p>
        </w:tc>
      </w:tr>
    </w:tbl>
    <w:p w:rsidR="00FD775E" w:rsidRPr="00883E07" w:rsidRDefault="00FD775E" w:rsidP="00FD775E">
      <w:pPr>
        <w:jc w:val="both"/>
        <w:rPr>
          <w:rFonts w:asciiTheme="majorHAnsi" w:hAnsiTheme="majorHAnsi" w:cs="Arial"/>
          <w:b/>
          <w:sz w:val="16"/>
          <w:szCs w:val="16"/>
        </w:rPr>
      </w:pPr>
    </w:p>
    <w:p w:rsidR="00FD775E" w:rsidRPr="00883E07" w:rsidRDefault="00FD775E" w:rsidP="00FD775E">
      <w:pPr>
        <w:jc w:val="both"/>
        <w:rPr>
          <w:rFonts w:asciiTheme="majorHAnsi" w:hAnsiTheme="majorHAnsi" w:cs="Arial"/>
          <w:sz w:val="16"/>
          <w:szCs w:val="16"/>
        </w:rPr>
      </w:pPr>
      <w:r w:rsidRPr="00883E07">
        <w:rPr>
          <w:rFonts w:asciiTheme="majorHAnsi" w:hAnsiTheme="majorHAnsi" w:cs="Arial"/>
          <w:sz w:val="16"/>
          <w:szCs w:val="16"/>
        </w:rPr>
        <w:t xml:space="preserve">Fuente: </w:t>
      </w:r>
      <w:proofErr w:type="spellStart"/>
      <w:r w:rsidRPr="00883E07">
        <w:rPr>
          <w:rFonts w:asciiTheme="majorHAnsi" w:hAnsiTheme="majorHAnsi" w:cs="Arial"/>
          <w:sz w:val="16"/>
          <w:szCs w:val="16"/>
        </w:rPr>
        <w:t>Fishstat</w:t>
      </w:r>
      <w:proofErr w:type="spellEnd"/>
      <w:r w:rsidRPr="00883E07">
        <w:rPr>
          <w:rFonts w:asciiTheme="majorHAnsi" w:hAnsiTheme="majorHAnsi" w:cs="Arial"/>
          <w:sz w:val="16"/>
          <w:szCs w:val="16"/>
        </w:rPr>
        <w:t xml:space="preserve"> Plus – FAO</w:t>
      </w:r>
    </w:p>
    <w:p w:rsidR="00642250" w:rsidRPr="00883E07" w:rsidRDefault="00FD775E" w:rsidP="00944532">
      <w:pPr>
        <w:spacing w:before="240" w:after="240"/>
        <w:jc w:val="both"/>
        <w:rPr>
          <w:rFonts w:asciiTheme="majorHAnsi" w:hAnsiTheme="majorHAnsi" w:cs="Arial"/>
          <w:sz w:val="22"/>
          <w:szCs w:val="22"/>
        </w:rPr>
      </w:pPr>
      <w:r w:rsidRPr="00883E07">
        <w:rPr>
          <w:rFonts w:asciiTheme="majorHAnsi" w:hAnsiTheme="majorHAnsi" w:cs="Arial"/>
          <w:sz w:val="22"/>
          <w:szCs w:val="22"/>
        </w:rPr>
        <w:t>S</w:t>
      </w:r>
      <w:r w:rsidR="00642250" w:rsidRPr="00883E07">
        <w:rPr>
          <w:rFonts w:asciiTheme="majorHAnsi" w:hAnsiTheme="majorHAnsi" w:cs="Arial"/>
          <w:sz w:val="22"/>
          <w:szCs w:val="22"/>
        </w:rPr>
        <w:t xml:space="preserve">e debe señalar que a pesar de que en América Latina y El Caribe se ha tratado de cultivar un gran número de especies hidrobiológicas con el propósito de diversificar la oferta acuícola, sólo los grupos de salmones y truchas, camarones </w:t>
      </w:r>
      <w:proofErr w:type="spellStart"/>
      <w:r w:rsidR="00642250" w:rsidRPr="00883E07">
        <w:rPr>
          <w:rFonts w:asciiTheme="majorHAnsi" w:hAnsiTheme="majorHAnsi" w:cs="Arial"/>
          <w:sz w:val="22"/>
          <w:szCs w:val="22"/>
        </w:rPr>
        <w:t>peneidos</w:t>
      </w:r>
      <w:proofErr w:type="spellEnd"/>
      <w:r w:rsidR="00642250" w:rsidRPr="00883E07">
        <w:rPr>
          <w:rFonts w:asciiTheme="majorHAnsi" w:hAnsiTheme="majorHAnsi" w:cs="Arial"/>
          <w:sz w:val="22"/>
          <w:szCs w:val="22"/>
        </w:rPr>
        <w:t xml:space="preserve"> y tilapias, han alcanzado niveles de producción estables y significativos en el tiempo, con un alto valor y niveles tecnológicos adecuados que sustentan dichas producciones, </w:t>
      </w:r>
      <w:r w:rsidRPr="00883E07">
        <w:rPr>
          <w:rFonts w:asciiTheme="majorHAnsi" w:hAnsiTheme="majorHAnsi" w:cs="Arial"/>
          <w:sz w:val="22"/>
          <w:szCs w:val="22"/>
        </w:rPr>
        <w:t xml:space="preserve">se debe </w:t>
      </w:r>
      <w:r w:rsidR="00642250" w:rsidRPr="00883E07">
        <w:rPr>
          <w:rFonts w:asciiTheme="majorHAnsi" w:hAnsiTheme="majorHAnsi" w:cs="Arial"/>
          <w:sz w:val="22"/>
          <w:szCs w:val="22"/>
        </w:rPr>
        <w:t xml:space="preserve">mencionar que en los últimos años se ha ido incrementando la producción de ostión o concha abanico (vieiras) y </w:t>
      </w:r>
      <w:proofErr w:type="spellStart"/>
      <w:r w:rsidR="00642250" w:rsidRPr="00883E07">
        <w:rPr>
          <w:rFonts w:asciiTheme="majorHAnsi" w:hAnsiTheme="majorHAnsi" w:cs="Arial"/>
          <w:sz w:val="22"/>
          <w:szCs w:val="22"/>
        </w:rPr>
        <w:t>chorito</w:t>
      </w:r>
      <w:proofErr w:type="spellEnd"/>
      <w:r w:rsidR="00642250" w:rsidRPr="00883E07">
        <w:rPr>
          <w:rFonts w:asciiTheme="majorHAnsi" w:hAnsiTheme="majorHAnsi" w:cs="Arial"/>
          <w:sz w:val="22"/>
          <w:szCs w:val="22"/>
        </w:rPr>
        <w:t xml:space="preserve"> principalmente en Perú y Chile respectivamente</w:t>
      </w:r>
      <w:r w:rsidRPr="00883E07">
        <w:rPr>
          <w:rFonts w:asciiTheme="majorHAnsi" w:hAnsiTheme="majorHAnsi" w:cs="Arial"/>
          <w:sz w:val="22"/>
          <w:szCs w:val="22"/>
        </w:rPr>
        <w:t xml:space="preserve"> y </w:t>
      </w:r>
      <w:r w:rsidR="00642250" w:rsidRPr="00883E07">
        <w:rPr>
          <w:rFonts w:asciiTheme="majorHAnsi" w:hAnsiTheme="majorHAnsi" w:cs="Arial"/>
          <w:sz w:val="22"/>
          <w:szCs w:val="22"/>
        </w:rPr>
        <w:t>con un alto valor comercial. Estos grupos principales, en general responden a poco más del 84% de la cosecha acuícola de toda la Región con un valor estimado de 10</w:t>
      </w:r>
      <w:r w:rsidRPr="00883E07">
        <w:rPr>
          <w:rFonts w:asciiTheme="majorHAnsi" w:hAnsiTheme="majorHAnsi" w:cs="Arial"/>
          <w:sz w:val="22"/>
          <w:szCs w:val="22"/>
        </w:rPr>
        <w:t xml:space="preserve"> </w:t>
      </w:r>
      <w:r w:rsidR="00642250" w:rsidRPr="00883E07">
        <w:rPr>
          <w:rFonts w:asciiTheme="majorHAnsi" w:hAnsiTheme="majorHAnsi" w:cs="Arial"/>
          <w:sz w:val="22"/>
          <w:szCs w:val="22"/>
        </w:rPr>
        <w:t>272 millones de dólares.</w:t>
      </w:r>
    </w:p>
    <w:p w:rsidR="00642250" w:rsidRPr="00883E07" w:rsidRDefault="00642250" w:rsidP="00642250">
      <w:pPr>
        <w:autoSpaceDE w:val="0"/>
        <w:autoSpaceDN w:val="0"/>
        <w:adjustRightInd w:val="0"/>
        <w:spacing w:line="288" w:lineRule="auto"/>
        <w:jc w:val="both"/>
        <w:rPr>
          <w:rFonts w:asciiTheme="majorHAnsi" w:hAnsiTheme="majorHAnsi" w:cs="Arial"/>
          <w:color w:val="000000" w:themeColor="text1"/>
          <w:sz w:val="22"/>
          <w:szCs w:val="22"/>
        </w:rPr>
      </w:pPr>
      <w:r w:rsidRPr="00883E07">
        <w:rPr>
          <w:rFonts w:asciiTheme="majorHAnsi" w:hAnsiTheme="majorHAnsi" w:cs="Arial"/>
          <w:b/>
          <w:color w:val="000000" w:themeColor="text1"/>
          <w:sz w:val="22"/>
          <w:szCs w:val="22"/>
        </w:rPr>
        <w:t>Tabla 0</w:t>
      </w:r>
      <w:r w:rsidR="00FD775E" w:rsidRPr="00883E07">
        <w:rPr>
          <w:rFonts w:asciiTheme="majorHAnsi" w:hAnsiTheme="majorHAnsi" w:cs="Arial"/>
          <w:b/>
          <w:color w:val="000000" w:themeColor="text1"/>
          <w:sz w:val="22"/>
          <w:szCs w:val="22"/>
        </w:rPr>
        <w:t>3</w:t>
      </w:r>
      <w:r w:rsidRPr="00883E07">
        <w:rPr>
          <w:rFonts w:asciiTheme="majorHAnsi" w:hAnsiTheme="majorHAnsi" w:cs="Arial"/>
          <w:b/>
          <w:color w:val="000000" w:themeColor="text1"/>
          <w:sz w:val="22"/>
          <w:szCs w:val="22"/>
        </w:rPr>
        <w:t>.</w:t>
      </w:r>
      <w:r w:rsidRPr="00883E07">
        <w:rPr>
          <w:rFonts w:asciiTheme="majorHAnsi" w:hAnsiTheme="majorHAnsi" w:cs="Arial"/>
          <w:color w:val="000000" w:themeColor="text1"/>
          <w:sz w:val="22"/>
          <w:szCs w:val="22"/>
        </w:rPr>
        <w:t xml:space="preserve"> Principales grupos de especies de acuicultura en ALC</w:t>
      </w:r>
    </w:p>
    <w:p w:rsidR="00DB43D6" w:rsidRPr="00883E07" w:rsidRDefault="00DB43D6" w:rsidP="00642250">
      <w:pPr>
        <w:autoSpaceDE w:val="0"/>
        <w:autoSpaceDN w:val="0"/>
        <w:adjustRightInd w:val="0"/>
        <w:spacing w:line="288" w:lineRule="auto"/>
        <w:jc w:val="both"/>
        <w:rPr>
          <w:rFonts w:asciiTheme="majorHAnsi" w:hAnsiTheme="majorHAnsi" w:cs="Arial"/>
          <w:color w:val="000000" w:themeColor="text1"/>
          <w:sz w:val="22"/>
          <w:szCs w:val="22"/>
        </w:rPr>
      </w:pPr>
    </w:p>
    <w:tbl>
      <w:tblPr>
        <w:tblW w:w="855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51"/>
        <w:gridCol w:w="878"/>
        <w:gridCol w:w="878"/>
        <w:gridCol w:w="950"/>
        <w:gridCol w:w="878"/>
        <w:gridCol w:w="964"/>
        <w:gridCol w:w="830"/>
        <w:gridCol w:w="1022"/>
      </w:tblGrid>
      <w:tr w:rsidR="00642250" w:rsidRPr="00883E07" w:rsidTr="00944532">
        <w:trPr>
          <w:trHeight w:val="255"/>
          <w:jc w:val="center"/>
        </w:trPr>
        <w:tc>
          <w:tcPr>
            <w:tcW w:w="2151" w:type="dxa"/>
            <w:shd w:val="clear" w:color="000000" w:fill="C00000"/>
            <w:noWrap/>
            <w:vAlign w:val="center"/>
            <w:hideMark/>
          </w:tcPr>
          <w:p w:rsidR="00642250" w:rsidRPr="00883E07" w:rsidRDefault="00642250" w:rsidP="00642250">
            <w:pPr>
              <w:jc w:val="center"/>
              <w:rPr>
                <w:rFonts w:asciiTheme="majorHAnsi" w:hAnsiTheme="majorHAnsi" w:cs="Arial"/>
                <w:b/>
                <w:bCs/>
                <w:color w:val="FFFFFF"/>
                <w:sz w:val="16"/>
                <w:szCs w:val="22"/>
                <w:lang w:val="es-PE" w:eastAsia="es-PE"/>
              </w:rPr>
            </w:pPr>
            <w:r w:rsidRPr="00883E07">
              <w:rPr>
                <w:rFonts w:asciiTheme="majorHAnsi" w:hAnsiTheme="majorHAnsi" w:cs="Arial"/>
                <w:b/>
                <w:bCs/>
                <w:color w:val="FFFFFF"/>
                <w:sz w:val="16"/>
                <w:szCs w:val="22"/>
                <w:lang w:val="es-PE" w:eastAsia="es-PE"/>
              </w:rPr>
              <w:t>GRUPO DE ESPECIES</w:t>
            </w:r>
          </w:p>
        </w:tc>
        <w:tc>
          <w:tcPr>
            <w:tcW w:w="848" w:type="dxa"/>
            <w:shd w:val="clear" w:color="000000" w:fill="C00000"/>
            <w:noWrap/>
            <w:vAlign w:val="center"/>
            <w:hideMark/>
          </w:tcPr>
          <w:p w:rsidR="00642250" w:rsidRPr="00883E07" w:rsidRDefault="00642250" w:rsidP="00642250">
            <w:pPr>
              <w:jc w:val="center"/>
              <w:rPr>
                <w:rFonts w:asciiTheme="majorHAnsi" w:hAnsiTheme="majorHAnsi" w:cs="Arial"/>
                <w:b/>
                <w:bCs/>
                <w:color w:val="FFFFFF"/>
                <w:sz w:val="16"/>
                <w:szCs w:val="22"/>
                <w:lang w:val="es-PE" w:eastAsia="es-PE"/>
              </w:rPr>
            </w:pPr>
            <w:r w:rsidRPr="00883E07">
              <w:rPr>
                <w:rFonts w:asciiTheme="majorHAnsi" w:hAnsiTheme="majorHAnsi" w:cs="Arial"/>
                <w:b/>
                <w:bCs/>
                <w:color w:val="FFFFFF"/>
                <w:sz w:val="16"/>
                <w:szCs w:val="22"/>
                <w:lang w:val="es-PE" w:eastAsia="es-PE"/>
              </w:rPr>
              <w:t>2007</w:t>
            </w:r>
          </w:p>
        </w:tc>
        <w:tc>
          <w:tcPr>
            <w:tcW w:w="878" w:type="dxa"/>
            <w:shd w:val="clear" w:color="000000" w:fill="C00000"/>
            <w:noWrap/>
            <w:vAlign w:val="center"/>
            <w:hideMark/>
          </w:tcPr>
          <w:p w:rsidR="00642250" w:rsidRPr="00883E07" w:rsidRDefault="00642250" w:rsidP="00642250">
            <w:pPr>
              <w:jc w:val="center"/>
              <w:rPr>
                <w:rFonts w:asciiTheme="majorHAnsi" w:hAnsiTheme="majorHAnsi" w:cs="Arial"/>
                <w:b/>
                <w:bCs/>
                <w:color w:val="FFFFFF"/>
                <w:sz w:val="16"/>
                <w:szCs w:val="22"/>
                <w:lang w:val="es-PE" w:eastAsia="es-PE"/>
              </w:rPr>
            </w:pPr>
            <w:r w:rsidRPr="00883E07">
              <w:rPr>
                <w:rFonts w:asciiTheme="majorHAnsi" w:hAnsiTheme="majorHAnsi" w:cs="Arial"/>
                <w:b/>
                <w:bCs/>
                <w:color w:val="FFFFFF"/>
                <w:sz w:val="16"/>
                <w:szCs w:val="22"/>
                <w:lang w:val="es-PE" w:eastAsia="es-PE"/>
              </w:rPr>
              <w:t>2008</w:t>
            </w:r>
          </w:p>
        </w:tc>
        <w:tc>
          <w:tcPr>
            <w:tcW w:w="950" w:type="dxa"/>
            <w:shd w:val="clear" w:color="000000" w:fill="C00000"/>
            <w:noWrap/>
            <w:vAlign w:val="center"/>
            <w:hideMark/>
          </w:tcPr>
          <w:p w:rsidR="00642250" w:rsidRPr="00883E07" w:rsidRDefault="00642250" w:rsidP="00642250">
            <w:pPr>
              <w:jc w:val="center"/>
              <w:rPr>
                <w:rFonts w:asciiTheme="majorHAnsi" w:hAnsiTheme="majorHAnsi" w:cs="Arial"/>
                <w:b/>
                <w:bCs/>
                <w:color w:val="FFFFFF"/>
                <w:sz w:val="16"/>
                <w:szCs w:val="22"/>
                <w:lang w:val="es-PE" w:eastAsia="es-PE"/>
              </w:rPr>
            </w:pPr>
            <w:r w:rsidRPr="00883E07">
              <w:rPr>
                <w:rFonts w:asciiTheme="majorHAnsi" w:hAnsiTheme="majorHAnsi" w:cs="Arial"/>
                <w:b/>
                <w:bCs/>
                <w:color w:val="FFFFFF"/>
                <w:sz w:val="16"/>
                <w:szCs w:val="22"/>
                <w:lang w:val="es-PE" w:eastAsia="es-PE"/>
              </w:rPr>
              <w:t>2009</w:t>
            </w:r>
          </w:p>
        </w:tc>
        <w:tc>
          <w:tcPr>
            <w:tcW w:w="878" w:type="dxa"/>
            <w:shd w:val="clear" w:color="000000" w:fill="C00000"/>
            <w:noWrap/>
            <w:vAlign w:val="center"/>
            <w:hideMark/>
          </w:tcPr>
          <w:p w:rsidR="00642250" w:rsidRPr="00883E07" w:rsidRDefault="00642250" w:rsidP="00642250">
            <w:pPr>
              <w:jc w:val="center"/>
              <w:rPr>
                <w:rFonts w:asciiTheme="majorHAnsi" w:hAnsiTheme="majorHAnsi" w:cs="Arial"/>
                <w:b/>
                <w:bCs/>
                <w:color w:val="FFFFFF"/>
                <w:sz w:val="16"/>
                <w:szCs w:val="22"/>
                <w:lang w:val="es-PE" w:eastAsia="es-PE"/>
              </w:rPr>
            </w:pPr>
            <w:r w:rsidRPr="00883E07">
              <w:rPr>
                <w:rFonts w:asciiTheme="majorHAnsi" w:hAnsiTheme="majorHAnsi" w:cs="Arial"/>
                <w:b/>
                <w:bCs/>
                <w:color w:val="FFFFFF"/>
                <w:sz w:val="16"/>
                <w:szCs w:val="22"/>
                <w:lang w:val="es-PE" w:eastAsia="es-PE"/>
              </w:rPr>
              <w:t>2010</w:t>
            </w:r>
          </w:p>
        </w:tc>
        <w:tc>
          <w:tcPr>
            <w:tcW w:w="968" w:type="dxa"/>
            <w:shd w:val="clear" w:color="000000" w:fill="C00000"/>
            <w:vAlign w:val="center"/>
          </w:tcPr>
          <w:p w:rsidR="00642250" w:rsidRPr="00883E07" w:rsidRDefault="00642250" w:rsidP="00642250">
            <w:pPr>
              <w:jc w:val="center"/>
              <w:rPr>
                <w:rFonts w:asciiTheme="majorHAnsi" w:hAnsiTheme="majorHAnsi" w:cs="Arial"/>
                <w:b/>
                <w:bCs/>
                <w:color w:val="FFFFFF"/>
                <w:sz w:val="16"/>
                <w:szCs w:val="22"/>
                <w:lang w:val="es-PE" w:eastAsia="es-PE"/>
              </w:rPr>
            </w:pPr>
            <w:r w:rsidRPr="00883E07">
              <w:rPr>
                <w:rFonts w:asciiTheme="majorHAnsi" w:hAnsiTheme="majorHAnsi" w:cs="Arial"/>
                <w:b/>
                <w:bCs/>
                <w:color w:val="FFFFFF"/>
                <w:sz w:val="16"/>
                <w:szCs w:val="22"/>
                <w:lang w:val="es-PE" w:eastAsia="es-PE"/>
              </w:rPr>
              <w:t>2011</w:t>
            </w:r>
          </w:p>
        </w:tc>
        <w:tc>
          <w:tcPr>
            <w:tcW w:w="843" w:type="dxa"/>
            <w:shd w:val="clear" w:color="000000" w:fill="C00000"/>
            <w:vAlign w:val="center"/>
          </w:tcPr>
          <w:p w:rsidR="00642250" w:rsidRPr="00883E07" w:rsidRDefault="00642250" w:rsidP="00642250">
            <w:pPr>
              <w:jc w:val="center"/>
              <w:rPr>
                <w:rFonts w:asciiTheme="majorHAnsi" w:hAnsiTheme="majorHAnsi" w:cs="Arial"/>
                <w:b/>
                <w:bCs/>
                <w:color w:val="FFFFFF"/>
                <w:sz w:val="16"/>
                <w:szCs w:val="22"/>
                <w:lang w:val="es-PE" w:eastAsia="es-PE"/>
              </w:rPr>
            </w:pPr>
            <w:r w:rsidRPr="00883E07">
              <w:rPr>
                <w:rFonts w:asciiTheme="majorHAnsi" w:hAnsiTheme="majorHAnsi" w:cs="Arial"/>
                <w:b/>
                <w:bCs/>
                <w:color w:val="FFFFFF"/>
                <w:sz w:val="16"/>
                <w:szCs w:val="22"/>
                <w:lang w:val="es-PE" w:eastAsia="es-PE"/>
              </w:rPr>
              <w:t>2011 (%)</w:t>
            </w:r>
          </w:p>
        </w:tc>
        <w:tc>
          <w:tcPr>
            <w:tcW w:w="1035" w:type="dxa"/>
            <w:shd w:val="clear" w:color="000000" w:fill="C00000"/>
          </w:tcPr>
          <w:p w:rsidR="00642250" w:rsidRPr="00883E07" w:rsidRDefault="00642250" w:rsidP="00642250">
            <w:pPr>
              <w:jc w:val="center"/>
              <w:rPr>
                <w:rFonts w:asciiTheme="majorHAnsi" w:hAnsiTheme="majorHAnsi" w:cs="Arial"/>
                <w:b/>
                <w:bCs/>
                <w:color w:val="FFFFFF"/>
                <w:sz w:val="16"/>
                <w:szCs w:val="22"/>
                <w:lang w:val="es-PE" w:eastAsia="es-PE"/>
              </w:rPr>
            </w:pPr>
            <w:r w:rsidRPr="00883E07">
              <w:rPr>
                <w:rFonts w:asciiTheme="majorHAnsi" w:hAnsiTheme="majorHAnsi" w:cs="Arial"/>
                <w:b/>
                <w:bCs/>
                <w:color w:val="FFFFFF"/>
                <w:sz w:val="16"/>
                <w:szCs w:val="22"/>
                <w:lang w:val="es-PE" w:eastAsia="es-PE"/>
              </w:rPr>
              <w:t>Millones US$ - 2011</w:t>
            </w:r>
          </w:p>
        </w:tc>
      </w:tr>
      <w:tr w:rsidR="00642250" w:rsidRPr="00883E07" w:rsidTr="00944532">
        <w:trPr>
          <w:trHeight w:val="255"/>
          <w:jc w:val="center"/>
        </w:trPr>
        <w:tc>
          <w:tcPr>
            <w:tcW w:w="2151" w:type="dxa"/>
            <w:shd w:val="clear" w:color="auto" w:fill="auto"/>
            <w:noWrap/>
            <w:vAlign w:val="center"/>
            <w:hideMark/>
          </w:tcPr>
          <w:p w:rsidR="00642250" w:rsidRPr="00883E07" w:rsidRDefault="00642250" w:rsidP="00642250">
            <w:pPr>
              <w:rPr>
                <w:rFonts w:asciiTheme="majorHAnsi" w:hAnsiTheme="majorHAnsi" w:cs="Arial"/>
                <w:b/>
                <w:sz w:val="16"/>
                <w:szCs w:val="22"/>
                <w:lang w:val="es-PE" w:eastAsia="es-PE"/>
              </w:rPr>
            </w:pPr>
            <w:r w:rsidRPr="00883E07">
              <w:rPr>
                <w:rFonts w:asciiTheme="majorHAnsi" w:hAnsiTheme="majorHAnsi" w:cs="Arial"/>
                <w:b/>
                <w:sz w:val="16"/>
                <w:szCs w:val="22"/>
                <w:lang w:val="es-PE" w:eastAsia="es-PE"/>
              </w:rPr>
              <w:t>SALMONES Y TRUCHAS</w:t>
            </w:r>
          </w:p>
        </w:tc>
        <w:tc>
          <w:tcPr>
            <w:tcW w:w="84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620,679</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655,554</w:t>
            </w:r>
          </w:p>
        </w:tc>
        <w:tc>
          <w:tcPr>
            <w:tcW w:w="950"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636,871</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497,203</w:t>
            </w:r>
          </w:p>
        </w:tc>
        <w:tc>
          <w:tcPr>
            <w:tcW w:w="968" w:type="dxa"/>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689,202</w:t>
            </w:r>
          </w:p>
        </w:tc>
        <w:tc>
          <w:tcPr>
            <w:tcW w:w="843" w:type="dxa"/>
            <w:vAlign w:val="center"/>
          </w:tcPr>
          <w:p w:rsidR="00642250" w:rsidRPr="00883E07" w:rsidRDefault="00642250" w:rsidP="00642250">
            <w:pPr>
              <w:jc w:val="center"/>
              <w:rPr>
                <w:rFonts w:asciiTheme="majorHAnsi" w:hAnsiTheme="majorHAnsi"/>
                <w:b/>
                <w:bCs/>
                <w:color w:val="0000CC"/>
                <w:sz w:val="16"/>
                <w:szCs w:val="22"/>
              </w:rPr>
            </w:pPr>
            <w:r w:rsidRPr="00883E07">
              <w:rPr>
                <w:rFonts w:asciiTheme="majorHAnsi" w:hAnsiTheme="majorHAnsi"/>
                <w:b/>
                <w:bCs/>
                <w:color w:val="0000CC"/>
                <w:sz w:val="16"/>
                <w:szCs w:val="22"/>
              </w:rPr>
              <w:t>29%</w:t>
            </w:r>
          </w:p>
        </w:tc>
        <w:tc>
          <w:tcPr>
            <w:tcW w:w="1035" w:type="dxa"/>
            <w:shd w:val="clear" w:color="auto" w:fill="auto"/>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5,123</w:t>
            </w:r>
          </w:p>
        </w:tc>
      </w:tr>
      <w:tr w:rsidR="00642250" w:rsidRPr="00883E07" w:rsidTr="00944532">
        <w:trPr>
          <w:trHeight w:val="255"/>
          <w:jc w:val="center"/>
        </w:trPr>
        <w:tc>
          <w:tcPr>
            <w:tcW w:w="2151" w:type="dxa"/>
            <w:shd w:val="clear" w:color="auto" w:fill="auto"/>
            <w:noWrap/>
            <w:vAlign w:val="center"/>
            <w:hideMark/>
          </w:tcPr>
          <w:p w:rsidR="00642250" w:rsidRPr="00883E07" w:rsidRDefault="00642250" w:rsidP="00642250">
            <w:pPr>
              <w:rPr>
                <w:rFonts w:asciiTheme="majorHAnsi" w:hAnsiTheme="majorHAnsi" w:cs="Arial"/>
                <w:b/>
                <w:sz w:val="16"/>
                <w:szCs w:val="22"/>
                <w:lang w:val="es-PE" w:eastAsia="es-PE"/>
              </w:rPr>
            </w:pPr>
            <w:r w:rsidRPr="00883E07">
              <w:rPr>
                <w:rFonts w:asciiTheme="majorHAnsi" w:hAnsiTheme="majorHAnsi" w:cs="Arial"/>
                <w:b/>
                <w:sz w:val="16"/>
                <w:szCs w:val="22"/>
                <w:lang w:val="es-PE" w:eastAsia="es-PE"/>
              </w:rPr>
              <w:t>CAMARONES PENEIDOS</w:t>
            </w:r>
          </w:p>
        </w:tc>
        <w:tc>
          <w:tcPr>
            <w:tcW w:w="84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447,775</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475,105</w:t>
            </w:r>
          </w:p>
        </w:tc>
        <w:tc>
          <w:tcPr>
            <w:tcW w:w="950"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475,779</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502,994</w:t>
            </w:r>
          </w:p>
        </w:tc>
        <w:tc>
          <w:tcPr>
            <w:tcW w:w="968" w:type="dxa"/>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539,720</w:t>
            </w:r>
          </w:p>
        </w:tc>
        <w:tc>
          <w:tcPr>
            <w:tcW w:w="843" w:type="dxa"/>
            <w:vAlign w:val="center"/>
          </w:tcPr>
          <w:p w:rsidR="00642250" w:rsidRPr="00883E07" w:rsidRDefault="00642250" w:rsidP="00642250">
            <w:pPr>
              <w:jc w:val="center"/>
              <w:rPr>
                <w:rFonts w:asciiTheme="majorHAnsi" w:hAnsiTheme="majorHAnsi"/>
                <w:b/>
                <w:bCs/>
                <w:color w:val="0000CC"/>
                <w:sz w:val="16"/>
                <w:szCs w:val="22"/>
              </w:rPr>
            </w:pPr>
            <w:r w:rsidRPr="00883E07">
              <w:rPr>
                <w:rFonts w:asciiTheme="majorHAnsi" w:hAnsiTheme="majorHAnsi"/>
                <w:b/>
                <w:bCs/>
                <w:color w:val="0000CC"/>
                <w:sz w:val="16"/>
                <w:szCs w:val="22"/>
              </w:rPr>
              <w:t>23%</w:t>
            </w:r>
          </w:p>
        </w:tc>
        <w:tc>
          <w:tcPr>
            <w:tcW w:w="1035" w:type="dxa"/>
            <w:shd w:val="clear" w:color="auto" w:fill="auto"/>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rPr>
              <w:t>2,352</w:t>
            </w:r>
          </w:p>
        </w:tc>
      </w:tr>
      <w:tr w:rsidR="00642250" w:rsidRPr="00883E07" w:rsidTr="00944532">
        <w:trPr>
          <w:trHeight w:val="255"/>
          <w:jc w:val="center"/>
        </w:trPr>
        <w:tc>
          <w:tcPr>
            <w:tcW w:w="2151" w:type="dxa"/>
            <w:shd w:val="clear" w:color="auto" w:fill="auto"/>
            <w:noWrap/>
            <w:vAlign w:val="center"/>
            <w:hideMark/>
          </w:tcPr>
          <w:p w:rsidR="00642250" w:rsidRPr="00883E07" w:rsidRDefault="00642250" w:rsidP="00642250">
            <w:pPr>
              <w:rPr>
                <w:rFonts w:asciiTheme="majorHAnsi" w:hAnsiTheme="majorHAnsi" w:cs="Arial"/>
                <w:b/>
                <w:sz w:val="16"/>
                <w:szCs w:val="22"/>
                <w:lang w:val="es-PE" w:eastAsia="es-PE"/>
              </w:rPr>
            </w:pPr>
            <w:r w:rsidRPr="00883E07">
              <w:rPr>
                <w:rFonts w:asciiTheme="majorHAnsi" w:hAnsiTheme="majorHAnsi" w:cs="Arial"/>
                <w:b/>
                <w:sz w:val="16"/>
                <w:szCs w:val="22"/>
                <w:lang w:val="es-PE" w:eastAsia="es-PE"/>
              </w:rPr>
              <w:t>TILAPIAS</w:t>
            </w:r>
          </w:p>
        </w:tc>
        <w:tc>
          <w:tcPr>
            <w:tcW w:w="84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218,925</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234,725</w:t>
            </w:r>
          </w:p>
        </w:tc>
        <w:tc>
          <w:tcPr>
            <w:tcW w:w="950"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279,123</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316,819</w:t>
            </w:r>
          </w:p>
        </w:tc>
        <w:tc>
          <w:tcPr>
            <w:tcW w:w="968" w:type="dxa"/>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424,823</w:t>
            </w:r>
          </w:p>
        </w:tc>
        <w:tc>
          <w:tcPr>
            <w:tcW w:w="843" w:type="dxa"/>
            <w:vAlign w:val="center"/>
          </w:tcPr>
          <w:p w:rsidR="00642250" w:rsidRPr="00883E07" w:rsidRDefault="00642250" w:rsidP="00642250">
            <w:pPr>
              <w:jc w:val="center"/>
              <w:rPr>
                <w:rFonts w:asciiTheme="majorHAnsi" w:hAnsiTheme="majorHAnsi"/>
                <w:b/>
                <w:bCs/>
                <w:color w:val="0000CC"/>
                <w:sz w:val="16"/>
                <w:szCs w:val="22"/>
              </w:rPr>
            </w:pPr>
            <w:r w:rsidRPr="00883E07">
              <w:rPr>
                <w:rFonts w:asciiTheme="majorHAnsi" w:hAnsiTheme="majorHAnsi"/>
                <w:b/>
                <w:bCs/>
                <w:color w:val="0000CC"/>
                <w:sz w:val="16"/>
                <w:szCs w:val="22"/>
              </w:rPr>
              <w:t>18%</w:t>
            </w:r>
          </w:p>
        </w:tc>
        <w:tc>
          <w:tcPr>
            <w:tcW w:w="1035" w:type="dxa"/>
            <w:shd w:val="clear" w:color="auto" w:fill="auto"/>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1,023</w:t>
            </w:r>
          </w:p>
        </w:tc>
      </w:tr>
      <w:tr w:rsidR="00642250" w:rsidRPr="00883E07" w:rsidTr="00944532">
        <w:trPr>
          <w:trHeight w:val="255"/>
          <w:jc w:val="center"/>
        </w:trPr>
        <w:tc>
          <w:tcPr>
            <w:tcW w:w="2151" w:type="dxa"/>
            <w:shd w:val="clear" w:color="auto" w:fill="auto"/>
            <w:noWrap/>
            <w:vAlign w:val="center"/>
            <w:hideMark/>
          </w:tcPr>
          <w:p w:rsidR="00642250" w:rsidRPr="00883E07" w:rsidRDefault="00642250" w:rsidP="00642250">
            <w:pPr>
              <w:rPr>
                <w:rFonts w:asciiTheme="majorHAnsi" w:hAnsiTheme="majorHAnsi" w:cs="Arial"/>
                <w:b/>
                <w:sz w:val="16"/>
                <w:szCs w:val="22"/>
                <w:lang w:val="es-PE" w:eastAsia="es-PE"/>
              </w:rPr>
            </w:pPr>
            <w:r w:rsidRPr="00883E07">
              <w:rPr>
                <w:rFonts w:asciiTheme="majorHAnsi" w:hAnsiTheme="majorHAnsi" w:cs="Arial"/>
                <w:b/>
                <w:sz w:val="16"/>
                <w:szCs w:val="22"/>
                <w:lang w:val="es-PE" w:eastAsia="es-PE"/>
              </w:rPr>
              <w:t>VIEIRAS Y CHORITOS</w:t>
            </w:r>
          </w:p>
        </w:tc>
        <w:tc>
          <w:tcPr>
            <w:tcW w:w="84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192,690</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223,849</w:t>
            </w:r>
          </w:p>
        </w:tc>
        <w:tc>
          <w:tcPr>
            <w:tcW w:w="950"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200,389</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289,225</w:t>
            </w:r>
          </w:p>
        </w:tc>
        <w:tc>
          <w:tcPr>
            <w:tcW w:w="968" w:type="dxa"/>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352,639</w:t>
            </w:r>
          </w:p>
        </w:tc>
        <w:tc>
          <w:tcPr>
            <w:tcW w:w="843" w:type="dxa"/>
            <w:vAlign w:val="center"/>
          </w:tcPr>
          <w:p w:rsidR="00642250" w:rsidRPr="00883E07" w:rsidRDefault="00642250" w:rsidP="00642250">
            <w:pPr>
              <w:jc w:val="center"/>
              <w:rPr>
                <w:rFonts w:asciiTheme="majorHAnsi" w:hAnsiTheme="majorHAnsi"/>
                <w:b/>
                <w:bCs/>
                <w:color w:val="0000CC"/>
                <w:sz w:val="16"/>
                <w:szCs w:val="22"/>
              </w:rPr>
            </w:pPr>
            <w:r w:rsidRPr="00883E07">
              <w:rPr>
                <w:rFonts w:asciiTheme="majorHAnsi" w:hAnsiTheme="majorHAnsi"/>
                <w:b/>
                <w:bCs/>
                <w:color w:val="0000CC"/>
                <w:sz w:val="16"/>
                <w:szCs w:val="22"/>
              </w:rPr>
              <w:t>15%</w:t>
            </w:r>
          </w:p>
        </w:tc>
        <w:tc>
          <w:tcPr>
            <w:tcW w:w="1035" w:type="dxa"/>
            <w:shd w:val="clear" w:color="auto" w:fill="auto"/>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1,774</w:t>
            </w:r>
          </w:p>
        </w:tc>
      </w:tr>
      <w:tr w:rsidR="00642250" w:rsidRPr="00883E07" w:rsidTr="00944532">
        <w:trPr>
          <w:trHeight w:val="255"/>
          <w:jc w:val="center"/>
        </w:trPr>
        <w:tc>
          <w:tcPr>
            <w:tcW w:w="2151" w:type="dxa"/>
            <w:shd w:val="clear" w:color="auto" w:fill="auto"/>
            <w:noWrap/>
            <w:vAlign w:val="center"/>
            <w:hideMark/>
          </w:tcPr>
          <w:p w:rsidR="00642250" w:rsidRPr="00883E07" w:rsidRDefault="00642250" w:rsidP="00642250">
            <w:pPr>
              <w:rPr>
                <w:rFonts w:asciiTheme="majorHAnsi" w:hAnsiTheme="majorHAnsi" w:cs="Arial"/>
                <w:b/>
                <w:sz w:val="16"/>
                <w:szCs w:val="22"/>
                <w:lang w:val="es-PE" w:eastAsia="es-PE"/>
              </w:rPr>
            </w:pPr>
            <w:r w:rsidRPr="00883E07">
              <w:rPr>
                <w:rFonts w:asciiTheme="majorHAnsi" w:hAnsiTheme="majorHAnsi" w:cs="Arial"/>
                <w:b/>
                <w:sz w:val="16"/>
                <w:szCs w:val="22"/>
                <w:lang w:val="es-PE" w:eastAsia="es-PE"/>
              </w:rPr>
              <w:t>CARPAS Y OTROS CICLIDOS</w:t>
            </w:r>
          </w:p>
        </w:tc>
        <w:tc>
          <w:tcPr>
            <w:tcW w:w="84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63,683</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95,031</w:t>
            </w:r>
          </w:p>
        </w:tc>
        <w:tc>
          <w:tcPr>
            <w:tcW w:w="950"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105,735</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112,163</w:t>
            </w:r>
          </w:p>
        </w:tc>
        <w:tc>
          <w:tcPr>
            <w:tcW w:w="968" w:type="dxa"/>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54,763</w:t>
            </w:r>
          </w:p>
        </w:tc>
        <w:tc>
          <w:tcPr>
            <w:tcW w:w="843" w:type="dxa"/>
            <w:vAlign w:val="center"/>
          </w:tcPr>
          <w:p w:rsidR="00642250" w:rsidRPr="00883E07" w:rsidRDefault="00642250" w:rsidP="00642250">
            <w:pPr>
              <w:jc w:val="center"/>
              <w:rPr>
                <w:rFonts w:asciiTheme="majorHAnsi" w:hAnsiTheme="majorHAnsi"/>
                <w:b/>
                <w:bCs/>
                <w:color w:val="0000CC"/>
                <w:sz w:val="16"/>
                <w:szCs w:val="22"/>
              </w:rPr>
            </w:pPr>
            <w:r w:rsidRPr="00883E07">
              <w:rPr>
                <w:rFonts w:asciiTheme="majorHAnsi" w:hAnsiTheme="majorHAnsi"/>
                <w:b/>
                <w:bCs/>
                <w:color w:val="0000CC"/>
                <w:sz w:val="16"/>
                <w:szCs w:val="22"/>
              </w:rPr>
              <w:t>2%</w:t>
            </w:r>
          </w:p>
        </w:tc>
        <w:tc>
          <w:tcPr>
            <w:tcW w:w="1035" w:type="dxa"/>
            <w:shd w:val="clear" w:color="auto" w:fill="auto"/>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61</w:t>
            </w:r>
          </w:p>
        </w:tc>
      </w:tr>
      <w:tr w:rsidR="00642250" w:rsidRPr="00883E07" w:rsidTr="00944532">
        <w:trPr>
          <w:trHeight w:val="255"/>
          <w:jc w:val="center"/>
        </w:trPr>
        <w:tc>
          <w:tcPr>
            <w:tcW w:w="2151" w:type="dxa"/>
            <w:shd w:val="clear" w:color="auto" w:fill="auto"/>
            <w:noWrap/>
            <w:vAlign w:val="center"/>
            <w:hideMark/>
          </w:tcPr>
          <w:p w:rsidR="00642250" w:rsidRPr="00883E07" w:rsidRDefault="00642250" w:rsidP="00642250">
            <w:pPr>
              <w:rPr>
                <w:rFonts w:asciiTheme="majorHAnsi" w:hAnsiTheme="majorHAnsi" w:cs="Arial"/>
                <w:b/>
                <w:sz w:val="16"/>
                <w:szCs w:val="22"/>
                <w:lang w:val="es-PE" w:eastAsia="es-PE"/>
              </w:rPr>
            </w:pPr>
            <w:r w:rsidRPr="00883E07">
              <w:rPr>
                <w:rFonts w:asciiTheme="majorHAnsi" w:hAnsiTheme="majorHAnsi" w:cs="Arial"/>
                <w:b/>
                <w:sz w:val="16"/>
                <w:szCs w:val="22"/>
                <w:lang w:val="es-PE" w:eastAsia="es-PE"/>
              </w:rPr>
              <w:t>PLANTAS ACUÁTICAS</w:t>
            </w:r>
          </w:p>
        </w:tc>
        <w:tc>
          <w:tcPr>
            <w:tcW w:w="84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26,388</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28,014</w:t>
            </w:r>
          </w:p>
        </w:tc>
        <w:tc>
          <w:tcPr>
            <w:tcW w:w="950"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88,714</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12,910</w:t>
            </w:r>
          </w:p>
        </w:tc>
        <w:tc>
          <w:tcPr>
            <w:tcW w:w="968" w:type="dxa"/>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15,425</w:t>
            </w:r>
          </w:p>
        </w:tc>
        <w:tc>
          <w:tcPr>
            <w:tcW w:w="843" w:type="dxa"/>
            <w:vAlign w:val="center"/>
          </w:tcPr>
          <w:p w:rsidR="00642250" w:rsidRPr="00883E07" w:rsidRDefault="00642250" w:rsidP="00642250">
            <w:pPr>
              <w:jc w:val="center"/>
              <w:rPr>
                <w:rFonts w:asciiTheme="majorHAnsi" w:hAnsiTheme="majorHAnsi"/>
                <w:b/>
                <w:bCs/>
                <w:color w:val="0000CC"/>
                <w:sz w:val="16"/>
                <w:szCs w:val="22"/>
              </w:rPr>
            </w:pPr>
            <w:r w:rsidRPr="00883E07">
              <w:rPr>
                <w:rFonts w:asciiTheme="majorHAnsi" w:hAnsiTheme="majorHAnsi"/>
                <w:b/>
                <w:bCs/>
                <w:color w:val="0000CC"/>
                <w:sz w:val="16"/>
                <w:szCs w:val="22"/>
              </w:rPr>
              <w:t>1%</w:t>
            </w:r>
          </w:p>
        </w:tc>
        <w:tc>
          <w:tcPr>
            <w:tcW w:w="1035" w:type="dxa"/>
            <w:shd w:val="clear" w:color="auto" w:fill="auto"/>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25</w:t>
            </w:r>
          </w:p>
        </w:tc>
      </w:tr>
      <w:tr w:rsidR="00642250" w:rsidRPr="00883E07" w:rsidTr="00944532">
        <w:trPr>
          <w:trHeight w:val="255"/>
          <w:jc w:val="center"/>
        </w:trPr>
        <w:tc>
          <w:tcPr>
            <w:tcW w:w="2151" w:type="dxa"/>
            <w:shd w:val="clear" w:color="auto" w:fill="auto"/>
            <w:noWrap/>
            <w:vAlign w:val="center"/>
            <w:hideMark/>
          </w:tcPr>
          <w:p w:rsidR="00642250" w:rsidRPr="00883E07" w:rsidRDefault="00642250" w:rsidP="00642250">
            <w:pPr>
              <w:rPr>
                <w:rFonts w:asciiTheme="majorHAnsi" w:hAnsiTheme="majorHAnsi" w:cs="Arial"/>
                <w:b/>
                <w:sz w:val="16"/>
                <w:szCs w:val="22"/>
                <w:lang w:val="es-PE" w:eastAsia="es-PE"/>
              </w:rPr>
            </w:pPr>
            <w:r w:rsidRPr="00883E07">
              <w:rPr>
                <w:rFonts w:asciiTheme="majorHAnsi" w:hAnsiTheme="majorHAnsi" w:cs="Arial"/>
                <w:b/>
                <w:sz w:val="16"/>
                <w:szCs w:val="22"/>
                <w:lang w:val="es-PE" w:eastAsia="es-PE"/>
              </w:rPr>
              <w:t>OTROS GRUPOS</w:t>
            </w:r>
          </w:p>
        </w:tc>
        <w:tc>
          <w:tcPr>
            <w:tcW w:w="84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137,141</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161,380</w:t>
            </w:r>
          </w:p>
        </w:tc>
        <w:tc>
          <w:tcPr>
            <w:tcW w:w="950"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180,843</w:t>
            </w:r>
          </w:p>
        </w:tc>
        <w:tc>
          <w:tcPr>
            <w:tcW w:w="878" w:type="dxa"/>
            <w:shd w:val="clear" w:color="auto" w:fill="auto"/>
            <w:noWrap/>
            <w:vAlign w:val="center"/>
            <w:hideMark/>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lang w:val="es-PE"/>
              </w:rPr>
              <w:t>202,159</w:t>
            </w:r>
          </w:p>
        </w:tc>
        <w:tc>
          <w:tcPr>
            <w:tcW w:w="968" w:type="dxa"/>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rPr>
              <w:t>320,420</w:t>
            </w:r>
          </w:p>
        </w:tc>
        <w:tc>
          <w:tcPr>
            <w:tcW w:w="843" w:type="dxa"/>
            <w:vAlign w:val="center"/>
          </w:tcPr>
          <w:p w:rsidR="00642250" w:rsidRPr="00883E07" w:rsidRDefault="00642250" w:rsidP="00642250">
            <w:pPr>
              <w:jc w:val="center"/>
              <w:rPr>
                <w:rFonts w:asciiTheme="majorHAnsi" w:hAnsiTheme="majorHAnsi"/>
                <w:b/>
                <w:bCs/>
                <w:color w:val="0000CC"/>
                <w:sz w:val="16"/>
                <w:szCs w:val="22"/>
              </w:rPr>
            </w:pPr>
            <w:r w:rsidRPr="00883E07">
              <w:rPr>
                <w:rFonts w:asciiTheme="majorHAnsi" w:hAnsiTheme="majorHAnsi"/>
                <w:b/>
                <w:bCs/>
                <w:color w:val="0000CC"/>
                <w:sz w:val="16"/>
                <w:szCs w:val="22"/>
              </w:rPr>
              <w:t>13%</w:t>
            </w:r>
          </w:p>
        </w:tc>
        <w:tc>
          <w:tcPr>
            <w:tcW w:w="1035" w:type="dxa"/>
            <w:shd w:val="clear" w:color="auto" w:fill="auto"/>
            <w:vAlign w:val="center"/>
          </w:tcPr>
          <w:p w:rsidR="00642250" w:rsidRPr="00883E07" w:rsidRDefault="00642250" w:rsidP="00642250">
            <w:pPr>
              <w:jc w:val="center"/>
              <w:rPr>
                <w:rFonts w:asciiTheme="majorHAnsi" w:hAnsiTheme="majorHAnsi"/>
                <w:b/>
                <w:bCs/>
                <w:color w:val="000000"/>
                <w:sz w:val="16"/>
                <w:szCs w:val="22"/>
              </w:rPr>
            </w:pPr>
            <w:r w:rsidRPr="00883E07">
              <w:rPr>
                <w:rFonts w:asciiTheme="majorHAnsi" w:hAnsiTheme="majorHAnsi"/>
                <w:b/>
                <w:bCs/>
                <w:color w:val="000000"/>
                <w:sz w:val="16"/>
                <w:szCs w:val="22"/>
              </w:rPr>
              <w:t>768</w:t>
            </w:r>
          </w:p>
        </w:tc>
      </w:tr>
      <w:tr w:rsidR="00642250" w:rsidRPr="00883E07" w:rsidTr="00944532">
        <w:trPr>
          <w:trHeight w:val="159"/>
          <w:jc w:val="center"/>
        </w:trPr>
        <w:tc>
          <w:tcPr>
            <w:tcW w:w="2151" w:type="dxa"/>
            <w:shd w:val="clear" w:color="auto" w:fill="404040" w:themeFill="text1" w:themeFillTint="BF"/>
            <w:noWrap/>
            <w:vAlign w:val="center"/>
            <w:hideMark/>
          </w:tcPr>
          <w:p w:rsidR="00642250" w:rsidRPr="00883E07" w:rsidRDefault="00642250" w:rsidP="00642250">
            <w:pPr>
              <w:jc w:val="center"/>
              <w:rPr>
                <w:rFonts w:asciiTheme="majorHAnsi" w:hAnsiTheme="majorHAnsi" w:cs="Arial"/>
                <w:b/>
                <w:bCs/>
                <w:color w:val="FFFFFF"/>
                <w:sz w:val="16"/>
                <w:szCs w:val="22"/>
                <w:lang w:val="es-PE" w:eastAsia="es-PE"/>
              </w:rPr>
            </w:pPr>
            <w:r w:rsidRPr="00883E07">
              <w:rPr>
                <w:rFonts w:asciiTheme="majorHAnsi" w:hAnsiTheme="majorHAnsi" w:cs="Arial"/>
                <w:b/>
                <w:bCs/>
                <w:color w:val="FFFFFF"/>
                <w:sz w:val="16"/>
                <w:szCs w:val="22"/>
                <w:lang w:val="es-PE" w:eastAsia="es-PE"/>
              </w:rPr>
              <w:t>TOTAL</w:t>
            </w:r>
          </w:p>
        </w:tc>
        <w:tc>
          <w:tcPr>
            <w:tcW w:w="848" w:type="dxa"/>
            <w:shd w:val="clear" w:color="auto" w:fill="404040" w:themeFill="text1" w:themeFillTint="BF"/>
            <w:noWrap/>
            <w:vAlign w:val="center"/>
            <w:hideMark/>
          </w:tcPr>
          <w:p w:rsidR="00642250" w:rsidRPr="00883E07" w:rsidRDefault="00642250" w:rsidP="00642250">
            <w:pPr>
              <w:jc w:val="center"/>
              <w:rPr>
                <w:rFonts w:asciiTheme="majorHAnsi" w:hAnsiTheme="majorHAnsi"/>
                <w:b/>
                <w:bCs/>
                <w:color w:val="FFFFFF"/>
                <w:sz w:val="16"/>
                <w:szCs w:val="22"/>
              </w:rPr>
            </w:pPr>
            <w:r w:rsidRPr="00883E07">
              <w:rPr>
                <w:rFonts w:asciiTheme="majorHAnsi" w:hAnsiTheme="majorHAnsi"/>
                <w:b/>
                <w:bCs/>
                <w:color w:val="FFFFFF"/>
                <w:sz w:val="16"/>
                <w:szCs w:val="22"/>
              </w:rPr>
              <w:t>1,707,281</w:t>
            </w:r>
          </w:p>
        </w:tc>
        <w:tc>
          <w:tcPr>
            <w:tcW w:w="878" w:type="dxa"/>
            <w:shd w:val="clear" w:color="auto" w:fill="404040" w:themeFill="text1" w:themeFillTint="BF"/>
            <w:noWrap/>
            <w:vAlign w:val="center"/>
            <w:hideMark/>
          </w:tcPr>
          <w:p w:rsidR="00642250" w:rsidRPr="00883E07" w:rsidRDefault="00642250" w:rsidP="00642250">
            <w:pPr>
              <w:jc w:val="center"/>
              <w:rPr>
                <w:rFonts w:asciiTheme="majorHAnsi" w:hAnsiTheme="majorHAnsi"/>
                <w:b/>
                <w:bCs/>
                <w:color w:val="FFFFFF"/>
                <w:sz w:val="16"/>
                <w:szCs w:val="22"/>
              </w:rPr>
            </w:pPr>
            <w:r w:rsidRPr="00883E07">
              <w:rPr>
                <w:rFonts w:asciiTheme="majorHAnsi" w:hAnsiTheme="majorHAnsi"/>
                <w:b/>
                <w:bCs/>
                <w:color w:val="FFFFFF"/>
                <w:sz w:val="16"/>
                <w:szCs w:val="22"/>
              </w:rPr>
              <w:t>1,873,658</w:t>
            </w:r>
          </w:p>
        </w:tc>
        <w:tc>
          <w:tcPr>
            <w:tcW w:w="950" w:type="dxa"/>
            <w:shd w:val="clear" w:color="auto" w:fill="404040" w:themeFill="text1" w:themeFillTint="BF"/>
            <w:noWrap/>
            <w:vAlign w:val="center"/>
            <w:hideMark/>
          </w:tcPr>
          <w:p w:rsidR="00642250" w:rsidRPr="00883E07" w:rsidRDefault="00642250" w:rsidP="00642250">
            <w:pPr>
              <w:jc w:val="center"/>
              <w:rPr>
                <w:rFonts w:asciiTheme="majorHAnsi" w:hAnsiTheme="majorHAnsi"/>
                <w:b/>
                <w:bCs/>
                <w:color w:val="FFFFFF"/>
                <w:sz w:val="16"/>
                <w:szCs w:val="22"/>
              </w:rPr>
            </w:pPr>
            <w:r w:rsidRPr="00883E07">
              <w:rPr>
                <w:rFonts w:asciiTheme="majorHAnsi" w:hAnsiTheme="majorHAnsi"/>
                <w:b/>
                <w:bCs/>
                <w:color w:val="FFFFFF"/>
                <w:sz w:val="16"/>
                <w:szCs w:val="22"/>
              </w:rPr>
              <w:t>1,967,454</w:t>
            </w:r>
          </w:p>
        </w:tc>
        <w:tc>
          <w:tcPr>
            <w:tcW w:w="878" w:type="dxa"/>
            <w:shd w:val="clear" w:color="auto" w:fill="404040" w:themeFill="text1" w:themeFillTint="BF"/>
            <w:noWrap/>
            <w:vAlign w:val="center"/>
            <w:hideMark/>
          </w:tcPr>
          <w:p w:rsidR="00642250" w:rsidRPr="00883E07" w:rsidRDefault="00642250" w:rsidP="00642250">
            <w:pPr>
              <w:jc w:val="center"/>
              <w:rPr>
                <w:rFonts w:asciiTheme="majorHAnsi" w:hAnsiTheme="majorHAnsi"/>
                <w:b/>
                <w:bCs/>
                <w:color w:val="FFFFFF"/>
                <w:sz w:val="16"/>
                <w:szCs w:val="22"/>
              </w:rPr>
            </w:pPr>
            <w:r w:rsidRPr="00883E07">
              <w:rPr>
                <w:rFonts w:asciiTheme="majorHAnsi" w:hAnsiTheme="majorHAnsi"/>
                <w:b/>
                <w:bCs/>
                <w:color w:val="FFFFFF"/>
                <w:sz w:val="16"/>
                <w:szCs w:val="22"/>
              </w:rPr>
              <w:t>1,933,473</w:t>
            </w:r>
          </w:p>
        </w:tc>
        <w:tc>
          <w:tcPr>
            <w:tcW w:w="968" w:type="dxa"/>
            <w:shd w:val="clear" w:color="auto" w:fill="404040" w:themeFill="text1" w:themeFillTint="BF"/>
            <w:vAlign w:val="center"/>
          </w:tcPr>
          <w:p w:rsidR="00642250" w:rsidRPr="00883E07" w:rsidRDefault="00642250" w:rsidP="00642250">
            <w:pPr>
              <w:jc w:val="center"/>
              <w:rPr>
                <w:rFonts w:asciiTheme="majorHAnsi" w:hAnsiTheme="majorHAnsi"/>
                <w:b/>
                <w:bCs/>
                <w:color w:val="FFFFFF"/>
                <w:sz w:val="16"/>
                <w:szCs w:val="22"/>
              </w:rPr>
            </w:pPr>
            <w:r w:rsidRPr="00883E07">
              <w:rPr>
                <w:rFonts w:asciiTheme="majorHAnsi" w:hAnsiTheme="majorHAnsi"/>
                <w:b/>
                <w:bCs/>
                <w:color w:val="FFFFFF"/>
                <w:sz w:val="16"/>
                <w:szCs w:val="22"/>
              </w:rPr>
              <w:t>2,396,992</w:t>
            </w:r>
          </w:p>
        </w:tc>
        <w:tc>
          <w:tcPr>
            <w:tcW w:w="843" w:type="dxa"/>
            <w:shd w:val="clear" w:color="auto" w:fill="404040" w:themeFill="text1" w:themeFillTint="BF"/>
            <w:vAlign w:val="center"/>
          </w:tcPr>
          <w:p w:rsidR="00642250" w:rsidRPr="00883E07" w:rsidRDefault="00642250" w:rsidP="00642250">
            <w:pPr>
              <w:jc w:val="center"/>
              <w:rPr>
                <w:rFonts w:asciiTheme="majorHAnsi" w:hAnsiTheme="majorHAnsi"/>
                <w:b/>
                <w:bCs/>
                <w:color w:val="FFFFFF"/>
                <w:sz w:val="16"/>
                <w:szCs w:val="22"/>
              </w:rPr>
            </w:pPr>
            <w:r w:rsidRPr="00883E07">
              <w:rPr>
                <w:rFonts w:asciiTheme="majorHAnsi" w:hAnsiTheme="majorHAnsi"/>
                <w:b/>
                <w:bCs/>
                <w:color w:val="FFFFFF"/>
                <w:sz w:val="16"/>
                <w:szCs w:val="22"/>
                <w:lang w:val="es-PE"/>
              </w:rPr>
              <w:t>100%</w:t>
            </w:r>
          </w:p>
        </w:tc>
        <w:tc>
          <w:tcPr>
            <w:tcW w:w="1035" w:type="dxa"/>
            <w:shd w:val="clear" w:color="auto" w:fill="404040" w:themeFill="text1" w:themeFillTint="BF"/>
            <w:vAlign w:val="center"/>
          </w:tcPr>
          <w:p w:rsidR="00642250" w:rsidRPr="00883E07" w:rsidRDefault="00642250" w:rsidP="00642250">
            <w:pPr>
              <w:jc w:val="center"/>
              <w:rPr>
                <w:rFonts w:asciiTheme="majorHAnsi" w:hAnsiTheme="majorHAnsi"/>
                <w:b/>
                <w:bCs/>
                <w:color w:val="FFFFFF"/>
                <w:sz w:val="16"/>
                <w:szCs w:val="22"/>
              </w:rPr>
            </w:pPr>
            <w:r w:rsidRPr="00883E07">
              <w:rPr>
                <w:rFonts w:asciiTheme="majorHAnsi" w:hAnsiTheme="majorHAnsi"/>
                <w:b/>
                <w:bCs/>
                <w:color w:val="FFFFFF"/>
                <w:sz w:val="16"/>
                <w:szCs w:val="22"/>
                <w:lang w:val="es-PE"/>
              </w:rPr>
              <w:t>11,126</w:t>
            </w:r>
          </w:p>
        </w:tc>
      </w:tr>
    </w:tbl>
    <w:p w:rsidR="00642250" w:rsidRPr="00883E07" w:rsidRDefault="00642250" w:rsidP="00642250">
      <w:pPr>
        <w:rPr>
          <w:rFonts w:asciiTheme="majorHAnsi" w:hAnsiTheme="majorHAnsi" w:cs="Arial"/>
          <w:sz w:val="22"/>
          <w:szCs w:val="22"/>
        </w:rPr>
      </w:pPr>
    </w:p>
    <w:p w:rsidR="00642250" w:rsidRPr="00883E07" w:rsidRDefault="00642250" w:rsidP="00642250">
      <w:pPr>
        <w:rPr>
          <w:rFonts w:asciiTheme="majorHAnsi" w:hAnsiTheme="majorHAnsi" w:cs="Arial"/>
          <w:sz w:val="16"/>
          <w:szCs w:val="22"/>
        </w:rPr>
      </w:pPr>
      <w:r w:rsidRPr="00883E07">
        <w:rPr>
          <w:rFonts w:asciiTheme="majorHAnsi" w:hAnsiTheme="majorHAnsi" w:cs="Arial"/>
          <w:sz w:val="16"/>
          <w:szCs w:val="22"/>
        </w:rPr>
        <w:t xml:space="preserve">Fuente: </w:t>
      </w:r>
      <w:proofErr w:type="spellStart"/>
      <w:r w:rsidRPr="00883E07">
        <w:rPr>
          <w:rFonts w:asciiTheme="majorHAnsi" w:hAnsiTheme="majorHAnsi" w:cs="Arial"/>
          <w:sz w:val="16"/>
          <w:szCs w:val="22"/>
        </w:rPr>
        <w:t>Fishstat</w:t>
      </w:r>
      <w:proofErr w:type="spellEnd"/>
      <w:r w:rsidRPr="00883E07">
        <w:rPr>
          <w:rFonts w:asciiTheme="majorHAnsi" w:hAnsiTheme="majorHAnsi" w:cs="Arial"/>
          <w:sz w:val="16"/>
          <w:szCs w:val="22"/>
        </w:rPr>
        <w:t xml:space="preserve"> Plus – FAO</w:t>
      </w:r>
    </w:p>
    <w:p w:rsidR="00DB43D6" w:rsidRPr="00883E07" w:rsidRDefault="00DB43D6" w:rsidP="00642250">
      <w:pPr>
        <w:rPr>
          <w:rFonts w:asciiTheme="majorHAnsi" w:hAnsiTheme="majorHAnsi" w:cs="Arial"/>
          <w:sz w:val="22"/>
          <w:szCs w:val="22"/>
        </w:rPr>
      </w:pPr>
    </w:p>
    <w:p w:rsidR="00642250" w:rsidRPr="00883E07" w:rsidRDefault="00642250" w:rsidP="00DB43D6">
      <w:pPr>
        <w:autoSpaceDE w:val="0"/>
        <w:autoSpaceDN w:val="0"/>
        <w:adjustRightInd w:val="0"/>
        <w:rPr>
          <w:rFonts w:asciiTheme="majorHAnsi" w:hAnsiTheme="majorHAnsi" w:cs="Arial"/>
          <w:b/>
          <w:sz w:val="22"/>
          <w:u w:val="single"/>
        </w:rPr>
      </w:pPr>
      <w:r w:rsidRPr="00883E07">
        <w:rPr>
          <w:rFonts w:asciiTheme="majorHAnsi" w:hAnsiTheme="majorHAnsi" w:cs="Arial"/>
          <w:b/>
          <w:sz w:val="22"/>
          <w:u w:val="single"/>
        </w:rPr>
        <w:t>Aspecto Económico sobre la acuicultura peruana</w:t>
      </w:r>
    </w:p>
    <w:p w:rsidR="00DB43D6" w:rsidRPr="00883E07" w:rsidRDefault="00642250" w:rsidP="003D353B">
      <w:pPr>
        <w:spacing w:before="240" w:after="240"/>
        <w:jc w:val="both"/>
        <w:rPr>
          <w:rFonts w:asciiTheme="majorHAnsi" w:hAnsiTheme="majorHAnsi" w:cs="Arial"/>
          <w:sz w:val="22"/>
          <w:szCs w:val="22"/>
        </w:rPr>
      </w:pPr>
      <w:r w:rsidRPr="00883E07">
        <w:rPr>
          <w:rFonts w:asciiTheme="majorHAnsi" w:hAnsiTheme="majorHAnsi" w:cs="Arial"/>
          <w:sz w:val="22"/>
          <w:szCs w:val="22"/>
        </w:rPr>
        <w:t>La acuicultura en el Perú ha presentado una tasa de crecimiento de 20% anual, en los últimos 12 años. Para el año 2010 se reportó una producción de 89,021 t con un valor de 225 millones de dólares, en el 2011 se reportó una producción de 92,201 toneladas entre productos acuícolas continentales (23,609 t) y marinos (68,592 t), por un valor de 324 millones de dólares</w:t>
      </w:r>
      <w:r w:rsidR="00334EB0" w:rsidRPr="00883E07">
        <w:rPr>
          <w:rFonts w:asciiTheme="majorHAnsi" w:hAnsiTheme="majorHAnsi" w:cs="Arial"/>
          <w:sz w:val="22"/>
          <w:szCs w:val="22"/>
        </w:rPr>
        <w:t>, representando ello el 10% de las divisas generadas por el sector pesquero</w:t>
      </w:r>
      <w:r w:rsidRPr="00883E07">
        <w:rPr>
          <w:rFonts w:asciiTheme="majorHAnsi" w:hAnsiTheme="majorHAnsi" w:cs="Arial"/>
          <w:sz w:val="22"/>
          <w:szCs w:val="22"/>
        </w:rPr>
        <w:t xml:space="preserve">. En el 2012, por consecuencia de factores climáticos se afectó la oferta exportable de productos de la acuicultura (concha de abanico) y la crisis económica que </w:t>
      </w:r>
      <w:r w:rsidRPr="00883E07">
        <w:rPr>
          <w:rFonts w:asciiTheme="majorHAnsi" w:hAnsiTheme="majorHAnsi" w:cs="Arial"/>
          <w:sz w:val="22"/>
          <w:szCs w:val="22"/>
        </w:rPr>
        <w:lastRenderedPageBreak/>
        <w:t>afecto algunos de los destinos de exportación llevó los precios de mercado por debajo del precio de venta promedio, reduciéndose las exportaciones a un 34% con respecto al año anterior. Para ese año, el reporte de exportación de productos acuícolas mostró un volumen de 19,055 t, con un valor de 157.79 millones de dólares y el mercado interno reportó un volumen de 20,604 t con un valor de 88.27 millones de dólares, obteniendo como resultado un valor total de 246 millones de dólares. Podemos concluir que la actividad acuícola se está presentando como una importante fuente de divisas para el país, con un crecimiento continuo, colocándola asimismo dentro de las principales actividades económicas emergentes.</w:t>
      </w:r>
      <w:r w:rsidR="00DB43D6" w:rsidRPr="00883E07">
        <w:rPr>
          <w:rFonts w:asciiTheme="majorHAnsi" w:hAnsiTheme="majorHAnsi" w:cs="Arial"/>
          <w:sz w:val="22"/>
          <w:szCs w:val="22"/>
        </w:rPr>
        <w:t xml:space="preserve"> </w:t>
      </w:r>
    </w:p>
    <w:p w:rsidR="00242077" w:rsidRPr="00883E07" w:rsidRDefault="00242077" w:rsidP="00242077">
      <w:pPr>
        <w:spacing w:before="240" w:after="240"/>
        <w:jc w:val="both"/>
        <w:rPr>
          <w:rFonts w:asciiTheme="majorHAnsi" w:hAnsiTheme="majorHAnsi" w:cs="Arial"/>
          <w:sz w:val="22"/>
          <w:szCs w:val="22"/>
        </w:rPr>
      </w:pPr>
      <w:r w:rsidRPr="00883E07">
        <w:rPr>
          <w:rFonts w:asciiTheme="majorHAnsi" w:hAnsiTheme="majorHAnsi" w:cs="Arial"/>
          <w:sz w:val="22"/>
          <w:szCs w:val="22"/>
        </w:rPr>
        <w:t>Es importante señalar que las perspectivas de crecimiento de la acuicultura en la región se consideran buenas, dadas sus ventajas relativas de disponibilidad de tierras y agua para el cultivo de especies de agua dulce y amplias zonas costeras para cultivos marinos así como los cultivos off shore (con sistemas en mar abierto). Así, los beneficios tributarios, el Régimen de Recuperación Anticipada del IGV y la suspensión del pago del derecho por acuicultura se presentan como un instrumento que permite el crecimiento del sector, manteniendo las condiciones de inversión que permitirá aprovechar la existente tendencia de crecimiento, la cual se evidencia en el comportamiento de otros países de la región.</w:t>
      </w:r>
    </w:p>
    <w:p w:rsidR="00701F91" w:rsidRPr="00883E07" w:rsidRDefault="00701F91" w:rsidP="00642250">
      <w:pPr>
        <w:autoSpaceDE w:val="0"/>
        <w:autoSpaceDN w:val="0"/>
        <w:adjustRightInd w:val="0"/>
        <w:spacing w:line="288" w:lineRule="auto"/>
        <w:jc w:val="both"/>
        <w:rPr>
          <w:rFonts w:asciiTheme="majorHAnsi" w:hAnsiTheme="majorHAnsi" w:cs="Arial"/>
          <w:b/>
          <w:color w:val="000000" w:themeColor="text1"/>
          <w:sz w:val="22"/>
          <w:szCs w:val="22"/>
        </w:rPr>
      </w:pPr>
    </w:p>
    <w:p w:rsidR="00642250" w:rsidRPr="00883E07" w:rsidRDefault="00642250" w:rsidP="00642250">
      <w:pPr>
        <w:autoSpaceDE w:val="0"/>
        <w:autoSpaceDN w:val="0"/>
        <w:adjustRightInd w:val="0"/>
        <w:spacing w:line="288" w:lineRule="auto"/>
        <w:jc w:val="both"/>
        <w:rPr>
          <w:rFonts w:asciiTheme="majorHAnsi" w:hAnsiTheme="majorHAnsi" w:cs="Arial"/>
          <w:color w:val="000000" w:themeColor="text1"/>
          <w:sz w:val="22"/>
          <w:szCs w:val="22"/>
        </w:rPr>
      </w:pPr>
      <w:r w:rsidRPr="00883E07">
        <w:rPr>
          <w:rFonts w:asciiTheme="majorHAnsi" w:hAnsiTheme="majorHAnsi" w:cs="Arial"/>
          <w:b/>
          <w:color w:val="000000" w:themeColor="text1"/>
          <w:sz w:val="22"/>
          <w:szCs w:val="22"/>
        </w:rPr>
        <w:t>Gráfico 0</w:t>
      </w:r>
      <w:r w:rsidR="00866050" w:rsidRPr="00883E07">
        <w:rPr>
          <w:rFonts w:asciiTheme="majorHAnsi" w:hAnsiTheme="majorHAnsi" w:cs="Arial"/>
          <w:b/>
          <w:color w:val="000000" w:themeColor="text1"/>
          <w:sz w:val="22"/>
          <w:szCs w:val="22"/>
        </w:rPr>
        <w:t>2</w:t>
      </w:r>
      <w:r w:rsidRPr="00883E07">
        <w:rPr>
          <w:rFonts w:asciiTheme="majorHAnsi" w:hAnsiTheme="majorHAnsi" w:cs="Arial"/>
          <w:b/>
          <w:color w:val="000000" w:themeColor="text1"/>
          <w:sz w:val="22"/>
          <w:szCs w:val="22"/>
        </w:rPr>
        <w:t xml:space="preserve">. </w:t>
      </w:r>
      <w:r w:rsidRPr="00883E07">
        <w:rPr>
          <w:rFonts w:asciiTheme="majorHAnsi" w:hAnsiTheme="majorHAnsi" w:cs="Arial"/>
          <w:color w:val="000000" w:themeColor="text1"/>
          <w:sz w:val="22"/>
          <w:szCs w:val="22"/>
        </w:rPr>
        <w:t>Exportaciones de productos acuícolas en TM</w:t>
      </w:r>
    </w:p>
    <w:p w:rsidR="00642250" w:rsidRPr="00883E07" w:rsidRDefault="00642250" w:rsidP="00642250">
      <w:pPr>
        <w:autoSpaceDE w:val="0"/>
        <w:autoSpaceDN w:val="0"/>
        <w:adjustRightInd w:val="0"/>
        <w:spacing w:line="288" w:lineRule="auto"/>
        <w:rPr>
          <w:rFonts w:asciiTheme="majorHAnsi" w:hAnsiTheme="majorHAnsi" w:cs="Arial"/>
          <w:color w:val="000000" w:themeColor="text1"/>
          <w:sz w:val="16"/>
          <w:szCs w:val="22"/>
        </w:rPr>
      </w:pPr>
      <w:r w:rsidRPr="00883E07">
        <w:rPr>
          <w:rFonts w:asciiTheme="majorHAnsi" w:hAnsiTheme="majorHAnsi" w:cs="Arial"/>
          <w:noProof/>
          <w:color w:val="000000" w:themeColor="text1"/>
          <w:sz w:val="22"/>
          <w:szCs w:val="22"/>
          <w:lang w:val="es-PE" w:eastAsia="es-PE"/>
        </w:rPr>
        <w:drawing>
          <wp:inline distT="0" distB="0" distL="0" distR="0">
            <wp:extent cx="5422605" cy="2254103"/>
            <wp:effectExtent l="0" t="0" r="0" b="0"/>
            <wp:docPr id="1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83E07">
        <w:rPr>
          <w:rFonts w:asciiTheme="majorHAnsi" w:hAnsiTheme="majorHAnsi" w:cs="Arial"/>
          <w:color w:val="000000" w:themeColor="text1"/>
          <w:sz w:val="16"/>
          <w:szCs w:val="22"/>
        </w:rPr>
        <w:t>Fuente: DIAC-DGCHD</w:t>
      </w:r>
    </w:p>
    <w:p w:rsidR="00642250" w:rsidRPr="00883E07" w:rsidRDefault="00642250" w:rsidP="00642250">
      <w:pPr>
        <w:autoSpaceDE w:val="0"/>
        <w:autoSpaceDN w:val="0"/>
        <w:adjustRightInd w:val="0"/>
        <w:spacing w:line="288" w:lineRule="auto"/>
        <w:rPr>
          <w:rFonts w:asciiTheme="majorHAnsi" w:hAnsiTheme="majorHAnsi" w:cs="Arial"/>
          <w:color w:val="000000" w:themeColor="text1"/>
          <w:sz w:val="16"/>
          <w:szCs w:val="22"/>
        </w:rPr>
      </w:pPr>
      <w:r w:rsidRPr="00883E07">
        <w:rPr>
          <w:rFonts w:asciiTheme="majorHAnsi" w:hAnsiTheme="majorHAnsi" w:cs="Arial"/>
          <w:color w:val="000000" w:themeColor="text1"/>
          <w:sz w:val="16"/>
          <w:szCs w:val="22"/>
        </w:rPr>
        <w:t>(*) Cifra preliminar sujeta a reajuste</w:t>
      </w:r>
    </w:p>
    <w:p w:rsidR="00642250" w:rsidRDefault="00642250" w:rsidP="00534B70">
      <w:pPr>
        <w:autoSpaceDE w:val="0"/>
        <w:autoSpaceDN w:val="0"/>
        <w:adjustRightInd w:val="0"/>
        <w:spacing w:before="240" w:after="240"/>
        <w:jc w:val="both"/>
        <w:rPr>
          <w:rFonts w:asciiTheme="majorHAnsi" w:hAnsiTheme="majorHAnsi" w:cs="Arial"/>
          <w:i/>
          <w:color w:val="000000" w:themeColor="text1"/>
          <w:sz w:val="22"/>
          <w:szCs w:val="22"/>
        </w:rPr>
      </w:pPr>
      <w:r w:rsidRPr="00883E07">
        <w:rPr>
          <w:rFonts w:asciiTheme="majorHAnsi" w:hAnsiTheme="majorHAnsi" w:cs="Arial"/>
          <w:i/>
          <w:color w:val="000000" w:themeColor="text1"/>
          <w:sz w:val="22"/>
          <w:szCs w:val="22"/>
        </w:rPr>
        <w:t>En el año 2011 se reportó el mayor volumen exportado de productos acuícolas en la historia nacional, alcanzando las 28,739</w:t>
      </w:r>
      <w:r w:rsidR="00891664" w:rsidRPr="00883E07">
        <w:rPr>
          <w:rFonts w:asciiTheme="majorHAnsi" w:hAnsiTheme="majorHAnsi" w:cs="Arial"/>
          <w:i/>
          <w:color w:val="000000" w:themeColor="text1"/>
          <w:sz w:val="22"/>
          <w:szCs w:val="22"/>
        </w:rPr>
        <w:t xml:space="preserve"> </w:t>
      </w:r>
      <w:r w:rsidRPr="00883E07">
        <w:rPr>
          <w:rFonts w:asciiTheme="majorHAnsi" w:hAnsiTheme="majorHAnsi" w:cs="Arial"/>
          <w:i/>
          <w:color w:val="000000" w:themeColor="text1"/>
          <w:sz w:val="22"/>
          <w:szCs w:val="22"/>
        </w:rPr>
        <w:t>toneladas.</w:t>
      </w:r>
    </w:p>
    <w:p w:rsidR="00BF0D31" w:rsidRDefault="00BF0D31" w:rsidP="00534B70">
      <w:pPr>
        <w:autoSpaceDE w:val="0"/>
        <w:autoSpaceDN w:val="0"/>
        <w:adjustRightInd w:val="0"/>
        <w:spacing w:before="240" w:after="240"/>
        <w:jc w:val="both"/>
        <w:rPr>
          <w:rFonts w:asciiTheme="majorHAnsi" w:hAnsiTheme="majorHAnsi" w:cs="Arial"/>
          <w:i/>
          <w:color w:val="000000" w:themeColor="text1"/>
          <w:sz w:val="22"/>
          <w:szCs w:val="22"/>
        </w:rPr>
      </w:pPr>
    </w:p>
    <w:p w:rsidR="00BF0D31" w:rsidRDefault="00BF0D31" w:rsidP="00534B70">
      <w:pPr>
        <w:autoSpaceDE w:val="0"/>
        <w:autoSpaceDN w:val="0"/>
        <w:adjustRightInd w:val="0"/>
        <w:spacing w:before="240" w:after="240"/>
        <w:jc w:val="both"/>
        <w:rPr>
          <w:rFonts w:asciiTheme="majorHAnsi" w:hAnsiTheme="majorHAnsi" w:cs="Arial"/>
          <w:i/>
          <w:color w:val="000000" w:themeColor="text1"/>
          <w:sz w:val="22"/>
          <w:szCs w:val="22"/>
        </w:rPr>
      </w:pPr>
    </w:p>
    <w:p w:rsidR="00BF0D31" w:rsidRDefault="00BF0D31" w:rsidP="00534B70">
      <w:pPr>
        <w:autoSpaceDE w:val="0"/>
        <w:autoSpaceDN w:val="0"/>
        <w:adjustRightInd w:val="0"/>
        <w:spacing w:before="240" w:after="240"/>
        <w:jc w:val="both"/>
        <w:rPr>
          <w:rFonts w:asciiTheme="majorHAnsi" w:hAnsiTheme="majorHAnsi" w:cs="Arial"/>
          <w:i/>
          <w:color w:val="000000" w:themeColor="text1"/>
          <w:sz w:val="22"/>
          <w:szCs w:val="22"/>
        </w:rPr>
      </w:pPr>
    </w:p>
    <w:p w:rsidR="00BF0D31" w:rsidRDefault="00BF0D31" w:rsidP="00534B70">
      <w:pPr>
        <w:autoSpaceDE w:val="0"/>
        <w:autoSpaceDN w:val="0"/>
        <w:adjustRightInd w:val="0"/>
        <w:spacing w:before="240" w:after="240"/>
        <w:jc w:val="both"/>
        <w:rPr>
          <w:rFonts w:asciiTheme="majorHAnsi" w:hAnsiTheme="majorHAnsi" w:cs="Arial"/>
          <w:i/>
          <w:color w:val="000000" w:themeColor="text1"/>
          <w:sz w:val="22"/>
          <w:szCs w:val="22"/>
        </w:rPr>
      </w:pPr>
    </w:p>
    <w:p w:rsidR="00BF0D31" w:rsidRPr="00883E07" w:rsidRDefault="00BF0D31" w:rsidP="00534B70">
      <w:pPr>
        <w:autoSpaceDE w:val="0"/>
        <w:autoSpaceDN w:val="0"/>
        <w:adjustRightInd w:val="0"/>
        <w:spacing w:before="240" w:after="240"/>
        <w:jc w:val="both"/>
        <w:rPr>
          <w:rFonts w:asciiTheme="majorHAnsi" w:hAnsiTheme="majorHAnsi" w:cs="Arial"/>
          <w:i/>
          <w:color w:val="000000" w:themeColor="text1"/>
          <w:sz w:val="22"/>
          <w:szCs w:val="22"/>
        </w:rPr>
      </w:pPr>
    </w:p>
    <w:p w:rsidR="00642250" w:rsidRPr="00883E07" w:rsidRDefault="00642250" w:rsidP="00642250">
      <w:pPr>
        <w:autoSpaceDE w:val="0"/>
        <w:autoSpaceDN w:val="0"/>
        <w:adjustRightInd w:val="0"/>
        <w:spacing w:line="288" w:lineRule="auto"/>
        <w:jc w:val="both"/>
        <w:rPr>
          <w:rFonts w:asciiTheme="majorHAnsi" w:hAnsiTheme="majorHAnsi" w:cs="Arial"/>
          <w:color w:val="000000" w:themeColor="text1"/>
          <w:sz w:val="22"/>
          <w:szCs w:val="22"/>
        </w:rPr>
      </w:pPr>
      <w:r w:rsidRPr="00883E07">
        <w:rPr>
          <w:rFonts w:asciiTheme="majorHAnsi" w:hAnsiTheme="majorHAnsi" w:cs="Arial"/>
          <w:b/>
          <w:color w:val="000000" w:themeColor="text1"/>
          <w:sz w:val="22"/>
          <w:szCs w:val="22"/>
        </w:rPr>
        <w:t>Grafico 0</w:t>
      </w:r>
      <w:r w:rsidR="00866050" w:rsidRPr="00883E07">
        <w:rPr>
          <w:rFonts w:asciiTheme="majorHAnsi" w:hAnsiTheme="majorHAnsi" w:cs="Arial"/>
          <w:b/>
          <w:color w:val="000000" w:themeColor="text1"/>
          <w:sz w:val="22"/>
          <w:szCs w:val="22"/>
        </w:rPr>
        <w:t>3</w:t>
      </w:r>
      <w:r w:rsidRPr="00883E07">
        <w:rPr>
          <w:rFonts w:asciiTheme="majorHAnsi" w:hAnsiTheme="majorHAnsi" w:cs="Arial"/>
          <w:b/>
          <w:color w:val="000000" w:themeColor="text1"/>
          <w:sz w:val="22"/>
          <w:szCs w:val="22"/>
        </w:rPr>
        <w:t xml:space="preserve">. </w:t>
      </w:r>
      <w:r w:rsidRPr="00883E07">
        <w:rPr>
          <w:rFonts w:asciiTheme="majorHAnsi" w:hAnsiTheme="majorHAnsi" w:cs="Arial"/>
          <w:color w:val="000000" w:themeColor="text1"/>
          <w:sz w:val="22"/>
          <w:szCs w:val="22"/>
        </w:rPr>
        <w:t>Comercialización de productos acuícolas en el mercado interno</w:t>
      </w:r>
    </w:p>
    <w:p w:rsidR="00DB43D6" w:rsidRPr="00883E07" w:rsidRDefault="00DB43D6" w:rsidP="00642250">
      <w:pPr>
        <w:autoSpaceDE w:val="0"/>
        <w:autoSpaceDN w:val="0"/>
        <w:adjustRightInd w:val="0"/>
        <w:spacing w:line="288" w:lineRule="auto"/>
        <w:jc w:val="both"/>
        <w:rPr>
          <w:rFonts w:asciiTheme="majorHAnsi" w:hAnsiTheme="majorHAnsi" w:cs="Arial"/>
          <w:b/>
          <w:color w:val="000000" w:themeColor="text1"/>
          <w:sz w:val="22"/>
          <w:szCs w:val="22"/>
        </w:rPr>
      </w:pPr>
    </w:p>
    <w:p w:rsidR="00642250" w:rsidRPr="00883E07" w:rsidRDefault="00642250" w:rsidP="00642250">
      <w:pPr>
        <w:autoSpaceDE w:val="0"/>
        <w:autoSpaceDN w:val="0"/>
        <w:adjustRightInd w:val="0"/>
        <w:spacing w:line="288" w:lineRule="auto"/>
        <w:ind w:right="-427"/>
        <w:rPr>
          <w:rFonts w:asciiTheme="majorHAnsi" w:hAnsiTheme="majorHAnsi" w:cs="Arial"/>
          <w:color w:val="000000" w:themeColor="text1"/>
          <w:sz w:val="16"/>
          <w:szCs w:val="22"/>
        </w:rPr>
      </w:pPr>
      <w:r w:rsidRPr="00883E07">
        <w:rPr>
          <w:rFonts w:asciiTheme="majorHAnsi" w:hAnsiTheme="majorHAnsi" w:cs="Arial"/>
          <w:color w:val="FF0000"/>
          <w:sz w:val="22"/>
          <w:szCs w:val="22"/>
        </w:rPr>
        <w:lastRenderedPageBreak/>
        <w:t xml:space="preserve">  </w:t>
      </w:r>
      <w:r w:rsidRPr="00883E07">
        <w:rPr>
          <w:rFonts w:asciiTheme="majorHAnsi" w:hAnsiTheme="majorHAnsi" w:cs="Arial"/>
          <w:b/>
          <w:noProof/>
          <w:color w:val="000000" w:themeColor="text1"/>
          <w:sz w:val="22"/>
          <w:szCs w:val="22"/>
          <w:lang w:val="es-PE" w:eastAsia="es-PE"/>
        </w:rPr>
        <w:drawing>
          <wp:inline distT="0" distB="0" distL="0" distR="0">
            <wp:extent cx="5424820" cy="2253600"/>
            <wp:effectExtent l="19050" t="0" r="0" b="0"/>
            <wp:docPr id="2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83E07">
        <w:rPr>
          <w:rFonts w:asciiTheme="majorHAnsi" w:hAnsiTheme="majorHAnsi" w:cs="Arial"/>
          <w:color w:val="FF0000"/>
          <w:sz w:val="22"/>
          <w:szCs w:val="22"/>
        </w:rPr>
        <w:t xml:space="preserve">   </w:t>
      </w:r>
      <w:r w:rsidRPr="00883E07">
        <w:rPr>
          <w:rFonts w:asciiTheme="majorHAnsi" w:hAnsiTheme="majorHAnsi" w:cs="Arial"/>
          <w:color w:val="000000" w:themeColor="text1"/>
          <w:sz w:val="16"/>
          <w:szCs w:val="22"/>
        </w:rPr>
        <w:t>Fuente: DIAC-DGCHD</w:t>
      </w:r>
    </w:p>
    <w:p w:rsidR="00642250" w:rsidRPr="00883E07" w:rsidRDefault="00642250" w:rsidP="00642250">
      <w:pPr>
        <w:autoSpaceDE w:val="0"/>
        <w:autoSpaceDN w:val="0"/>
        <w:adjustRightInd w:val="0"/>
        <w:spacing w:line="288" w:lineRule="auto"/>
        <w:rPr>
          <w:rFonts w:asciiTheme="majorHAnsi" w:hAnsiTheme="majorHAnsi" w:cs="Arial"/>
          <w:color w:val="000000" w:themeColor="text1"/>
          <w:sz w:val="16"/>
          <w:szCs w:val="22"/>
        </w:rPr>
      </w:pPr>
      <w:r w:rsidRPr="00883E07">
        <w:rPr>
          <w:rFonts w:asciiTheme="majorHAnsi" w:hAnsiTheme="majorHAnsi" w:cs="Arial"/>
          <w:color w:val="000000" w:themeColor="text1"/>
          <w:sz w:val="16"/>
          <w:szCs w:val="22"/>
        </w:rPr>
        <w:t>(*) Cifra preliminar sujeta a reajuste</w:t>
      </w:r>
    </w:p>
    <w:p w:rsidR="00642250" w:rsidRPr="00883E07" w:rsidRDefault="00642250" w:rsidP="00534B70">
      <w:pPr>
        <w:autoSpaceDE w:val="0"/>
        <w:autoSpaceDN w:val="0"/>
        <w:adjustRightInd w:val="0"/>
        <w:spacing w:before="240" w:after="240"/>
        <w:jc w:val="both"/>
        <w:rPr>
          <w:rFonts w:asciiTheme="majorHAnsi" w:hAnsiTheme="majorHAnsi" w:cs="Arial"/>
          <w:i/>
          <w:color w:val="000000" w:themeColor="text1"/>
          <w:sz w:val="22"/>
          <w:szCs w:val="22"/>
        </w:rPr>
      </w:pPr>
      <w:r w:rsidRPr="00883E07">
        <w:rPr>
          <w:rFonts w:asciiTheme="majorHAnsi" w:hAnsiTheme="majorHAnsi" w:cs="Arial"/>
          <w:i/>
          <w:color w:val="000000" w:themeColor="text1"/>
          <w:sz w:val="22"/>
          <w:szCs w:val="22"/>
        </w:rPr>
        <w:t>En los años 2011 y 2012 se puede apreciar el crecimiento del mercado interno de los productos de la acuicultura peruana</w:t>
      </w:r>
      <w:r w:rsidR="00891664" w:rsidRPr="00883E07">
        <w:rPr>
          <w:rFonts w:asciiTheme="majorHAnsi" w:hAnsiTheme="majorHAnsi" w:cs="Arial"/>
          <w:i/>
          <w:color w:val="000000" w:themeColor="text1"/>
          <w:sz w:val="22"/>
          <w:szCs w:val="22"/>
        </w:rPr>
        <w:t>, sobre la base de la trucha arco iris, la tilapia, peces amazónicos y en menor medida la concha de abanico y el langostino</w:t>
      </w:r>
      <w:r w:rsidRPr="00883E07">
        <w:rPr>
          <w:rFonts w:asciiTheme="majorHAnsi" w:hAnsiTheme="majorHAnsi" w:cs="Arial"/>
          <w:i/>
          <w:color w:val="000000" w:themeColor="text1"/>
          <w:sz w:val="22"/>
          <w:szCs w:val="22"/>
        </w:rPr>
        <w:t xml:space="preserve">.  </w:t>
      </w:r>
    </w:p>
    <w:p w:rsidR="00EB7D5D" w:rsidRPr="00883E07" w:rsidRDefault="00EB7D5D" w:rsidP="00EB7D5D">
      <w:pPr>
        <w:autoSpaceDE w:val="0"/>
        <w:autoSpaceDN w:val="0"/>
        <w:adjustRightInd w:val="0"/>
        <w:jc w:val="both"/>
        <w:rPr>
          <w:rFonts w:asciiTheme="majorHAnsi" w:hAnsiTheme="majorHAnsi" w:cs="Arial"/>
          <w:sz w:val="22"/>
          <w:szCs w:val="22"/>
          <w:lang w:val="es-PE" w:eastAsia="es-PE"/>
        </w:rPr>
      </w:pPr>
      <w:r w:rsidRPr="00883E07">
        <w:rPr>
          <w:rFonts w:asciiTheme="majorHAnsi" w:hAnsiTheme="majorHAnsi" w:cs="Arial"/>
          <w:sz w:val="22"/>
          <w:szCs w:val="22"/>
          <w:lang w:val="es-PE" w:eastAsia="es-PE"/>
        </w:rPr>
        <w:t>La acuicultura proporciona alimentos de elevado valor nutritivo a los campesinos que se dedican a la agricultura y a la acuicultura, por lo que contribuye a la seguridad alimentaria de estas poblaciones, siendo una alternativa para dar solución a problemas alimentarios, como:</w:t>
      </w:r>
    </w:p>
    <w:p w:rsidR="00EB7D5D" w:rsidRPr="00883E07" w:rsidRDefault="00EB7D5D" w:rsidP="00EB7D5D">
      <w:pPr>
        <w:numPr>
          <w:ilvl w:val="0"/>
          <w:numId w:val="8"/>
        </w:numPr>
        <w:spacing w:before="100" w:beforeAutospacing="1" w:after="100" w:afterAutospacing="1"/>
        <w:ind w:left="724"/>
        <w:jc w:val="both"/>
        <w:rPr>
          <w:rFonts w:asciiTheme="majorHAnsi" w:hAnsiTheme="majorHAnsi" w:cs="Arial"/>
          <w:sz w:val="22"/>
          <w:szCs w:val="22"/>
          <w:lang w:val="es-PE" w:eastAsia="es-PE"/>
        </w:rPr>
      </w:pPr>
      <w:r w:rsidRPr="00883E07">
        <w:rPr>
          <w:rFonts w:asciiTheme="majorHAnsi" w:hAnsiTheme="majorHAnsi" w:cs="Arial"/>
          <w:sz w:val="22"/>
          <w:szCs w:val="22"/>
          <w:lang w:val="es-PE" w:eastAsia="es-PE"/>
        </w:rPr>
        <w:t xml:space="preserve">Déficit en la alimentación de la población ante su exponencial crecimiento.   </w:t>
      </w:r>
    </w:p>
    <w:p w:rsidR="00EB7D5D" w:rsidRPr="00883E07" w:rsidRDefault="00EB7D5D" w:rsidP="00EB7D5D">
      <w:pPr>
        <w:numPr>
          <w:ilvl w:val="0"/>
          <w:numId w:val="8"/>
        </w:numPr>
        <w:autoSpaceDE w:val="0"/>
        <w:autoSpaceDN w:val="0"/>
        <w:adjustRightInd w:val="0"/>
        <w:spacing w:before="100" w:beforeAutospacing="1" w:after="100" w:afterAutospacing="1"/>
        <w:ind w:left="724"/>
        <w:jc w:val="both"/>
        <w:rPr>
          <w:rFonts w:asciiTheme="majorHAnsi" w:hAnsiTheme="majorHAnsi" w:cs="Arial"/>
          <w:sz w:val="22"/>
          <w:szCs w:val="22"/>
          <w:lang w:val="es-PE" w:eastAsia="es-PE"/>
        </w:rPr>
      </w:pPr>
      <w:r w:rsidRPr="00883E07">
        <w:rPr>
          <w:rFonts w:asciiTheme="majorHAnsi" w:hAnsiTheme="majorHAnsi" w:cs="Arial"/>
          <w:sz w:val="22"/>
          <w:szCs w:val="22"/>
          <w:lang w:val="es-PE" w:eastAsia="es-PE"/>
        </w:rPr>
        <w:t>Carencia de proteínas adecuadas para el mantenimiento de la salud, conforme a la definición de “salud” adoptada por la Organización Mundial de la Salud, como “un estado de completo bienestar físico, mental y social”; el abastecimiento de proteínas es particularmente escaso y costoso para las poblaciones rurales, donde el promedio de ingresos energéticos y consumo de proteínas es normalmente.</w:t>
      </w:r>
    </w:p>
    <w:p w:rsidR="00EB7D5D" w:rsidRPr="00883E07" w:rsidRDefault="00EB7D5D" w:rsidP="00EB7D5D">
      <w:pPr>
        <w:numPr>
          <w:ilvl w:val="0"/>
          <w:numId w:val="8"/>
        </w:numPr>
        <w:autoSpaceDE w:val="0"/>
        <w:autoSpaceDN w:val="0"/>
        <w:adjustRightInd w:val="0"/>
        <w:spacing w:before="100" w:beforeAutospacing="1" w:after="100" w:afterAutospacing="1"/>
        <w:ind w:left="724"/>
        <w:jc w:val="both"/>
        <w:rPr>
          <w:rFonts w:asciiTheme="majorHAnsi" w:hAnsiTheme="majorHAnsi" w:cs="Arial"/>
          <w:sz w:val="22"/>
          <w:szCs w:val="22"/>
          <w:lang w:val="es-PE" w:eastAsia="es-PE"/>
        </w:rPr>
      </w:pPr>
      <w:r w:rsidRPr="00883E07">
        <w:rPr>
          <w:rFonts w:asciiTheme="majorHAnsi" w:hAnsiTheme="majorHAnsi" w:cs="Arial"/>
          <w:sz w:val="22"/>
          <w:szCs w:val="22"/>
          <w:lang w:val="es-PE" w:eastAsia="es-PE"/>
        </w:rPr>
        <w:t>Escasez de alimentos y las deficiencias nutritivas que se deben a factores climáticos, biológicos, sociales, económicos y políticos que se combinan; y, que, de ellas, la causa más importante es la falta de poder adquisitivo frente al aumento de precios generado por la economía de mercado generando un problema social.</w:t>
      </w:r>
    </w:p>
    <w:p w:rsidR="00EB7D5D" w:rsidRPr="00883E07" w:rsidRDefault="00EB7D5D" w:rsidP="00EB7D5D">
      <w:pPr>
        <w:autoSpaceDE w:val="0"/>
        <w:autoSpaceDN w:val="0"/>
        <w:adjustRightInd w:val="0"/>
        <w:spacing w:before="100" w:beforeAutospacing="1" w:after="100" w:afterAutospacing="1"/>
        <w:jc w:val="both"/>
        <w:rPr>
          <w:rFonts w:asciiTheme="majorHAnsi" w:hAnsiTheme="majorHAnsi" w:cs="Arial"/>
          <w:sz w:val="22"/>
          <w:szCs w:val="22"/>
          <w:lang w:val="es-PE" w:eastAsia="es-PE"/>
        </w:rPr>
      </w:pPr>
      <w:r w:rsidRPr="00883E07">
        <w:rPr>
          <w:rFonts w:asciiTheme="majorHAnsi" w:hAnsiTheme="majorHAnsi" w:cs="Arial"/>
          <w:sz w:val="22"/>
          <w:szCs w:val="22"/>
          <w:lang w:val="es-PE" w:eastAsia="es-PE"/>
        </w:rPr>
        <w:t xml:space="preserve">Cabe indicar que </w:t>
      </w:r>
      <w:r w:rsidRPr="001E008F">
        <w:rPr>
          <w:rFonts w:asciiTheme="majorHAnsi" w:hAnsiTheme="majorHAnsi" w:cs="Arial"/>
          <w:b/>
          <w:sz w:val="22"/>
          <w:szCs w:val="22"/>
          <w:u w:val="single"/>
          <w:lang w:val="es-PE" w:eastAsia="es-PE"/>
        </w:rPr>
        <w:t>hay una gran similitud entre la agricultura y la acuicultura</w:t>
      </w:r>
      <w:r w:rsidRPr="00883E07">
        <w:rPr>
          <w:rFonts w:asciiTheme="majorHAnsi" w:hAnsiTheme="majorHAnsi" w:cs="Arial"/>
          <w:sz w:val="22"/>
          <w:szCs w:val="22"/>
          <w:lang w:val="es-PE" w:eastAsia="es-PE"/>
        </w:rPr>
        <w:t>, en ambos casos se pretende cubrir las demandas alimenticias de una población mundial en crecimiento y con recursos naturales limitados.</w:t>
      </w:r>
    </w:p>
    <w:p w:rsidR="00EB7D5D" w:rsidRPr="00883E07" w:rsidRDefault="00EB7D5D" w:rsidP="00EB7D5D">
      <w:pPr>
        <w:pStyle w:val="Prrafodelista"/>
        <w:ind w:left="0"/>
        <w:jc w:val="both"/>
        <w:rPr>
          <w:rFonts w:asciiTheme="majorHAnsi" w:hAnsiTheme="majorHAnsi" w:cs="Tahoma"/>
        </w:rPr>
      </w:pPr>
      <w:r w:rsidRPr="00883E07">
        <w:rPr>
          <w:rFonts w:asciiTheme="majorHAnsi" w:hAnsiTheme="majorHAnsi" w:cs="Tahoma"/>
        </w:rPr>
        <w:t xml:space="preserve">Asimismo, </w:t>
      </w:r>
      <w:r w:rsidRPr="001E008F">
        <w:rPr>
          <w:rFonts w:asciiTheme="majorHAnsi" w:hAnsiTheme="majorHAnsi" w:cs="Tahoma"/>
          <w:b/>
          <w:u w:val="single"/>
        </w:rPr>
        <w:t>la acuicultura, se asemeja más a la agricultura, y es un proceso diferente a la pesca extractiva</w:t>
      </w:r>
      <w:r w:rsidRPr="00883E07">
        <w:rPr>
          <w:rFonts w:asciiTheme="majorHAnsi" w:hAnsiTheme="majorHAnsi" w:cs="Tahoma"/>
        </w:rPr>
        <w:t xml:space="preserve"> (que se asemeja más a la recolección o a la caza). En efecto, para la acuicultura se requiere contar con un área donde efectuarla, la misma que puede ser otorgada en uso por el estado (concesión) o en terrenos propios (autorización).  En el área de acuicultura, el productor tiene que desarrollar infraestructura (estanques, tanques, jaulas), adecuar el medio ambiente donde se realizara el cultivo (preparación de fondos y agua, según el caso, fertilización, eliminación de plagas), y posteriormente sembrar una semilla (alevines, post-larvas) producidos en ambientes controlados (“</w:t>
      </w:r>
      <w:proofErr w:type="spellStart"/>
      <w:r w:rsidRPr="00883E07">
        <w:rPr>
          <w:rFonts w:asciiTheme="majorHAnsi" w:hAnsiTheme="majorHAnsi" w:cs="Tahoma"/>
        </w:rPr>
        <w:t>hatcheries</w:t>
      </w:r>
      <w:proofErr w:type="spellEnd"/>
      <w:r w:rsidRPr="00883E07">
        <w:rPr>
          <w:rFonts w:asciiTheme="majorHAnsi" w:hAnsiTheme="majorHAnsi" w:cs="Tahoma"/>
        </w:rPr>
        <w:t>” o semilleros), alimentar a los ejemplares en cultivo, cuidarlos de enfermedades, proveerles oxigeno u otros insumos, limpiar los ambientes de cultivo, evitar la presencia de invasores y el robo, y planificar y efectuar la cosecha del producto, llevándolo a plantas de proceso.</w:t>
      </w:r>
    </w:p>
    <w:p w:rsidR="00EB7D5D" w:rsidRPr="00883E07" w:rsidRDefault="00EB7D5D" w:rsidP="00EB7D5D">
      <w:pPr>
        <w:pStyle w:val="Prrafodelista"/>
        <w:ind w:left="0"/>
        <w:jc w:val="both"/>
        <w:rPr>
          <w:rFonts w:asciiTheme="majorHAnsi" w:hAnsiTheme="majorHAnsi" w:cs="Tahoma"/>
        </w:rPr>
      </w:pPr>
    </w:p>
    <w:p w:rsidR="00EB7D5D" w:rsidRPr="00883E07" w:rsidRDefault="00EB7D5D" w:rsidP="00EB7D5D">
      <w:pPr>
        <w:pStyle w:val="Prrafodelista"/>
        <w:ind w:left="0"/>
        <w:jc w:val="both"/>
        <w:rPr>
          <w:rFonts w:asciiTheme="majorHAnsi" w:hAnsiTheme="majorHAnsi" w:cs="Tahoma"/>
        </w:rPr>
      </w:pPr>
      <w:r w:rsidRPr="00883E07">
        <w:rPr>
          <w:rFonts w:asciiTheme="majorHAnsi" w:hAnsiTheme="majorHAnsi" w:cs="Tahoma"/>
        </w:rPr>
        <w:lastRenderedPageBreak/>
        <w:t xml:space="preserve">Al igual que en la agricultura, en la acuicultura estos procesos son predecibles y </w:t>
      </w:r>
      <w:proofErr w:type="spellStart"/>
      <w:r w:rsidRPr="00883E07">
        <w:rPr>
          <w:rFonts w:asciiTheme="majorHAnsi" w:hAnsiTheme="majorHAnsi" w:cs="Tahoma"/>
        </w:rPr>
        <w:t>planificables</w:t>
      </w:r>
      <w:proofErr w:type="spellEnd"/>
      <w:r w:rsidRPr="00883E07">
        <w:rPr>
          <w:rFonts w:asciiTheme="majorHAnsi" w:hAnsiTheme="majorHAnsi" w:cs="Tahoma"/>
        </w:rPr>
        <w:t xml:space="preserve">, a diverso costo según el tipo de cultivo. Pero igualmente es previsible la producción: es decir cuánto y cuando se cosechará, y que tipo de producto, siendo éste de propiedad del productor (a diferencia de la pesca que es aleatoria: no se sabe cuánto se va a extraer y </w:t>
      </w:r>
      <w:r w:rsidR="00701F91" w:rsidRPr="00883E07">
        <w:rPr>
          <w:rFonts w:asciiTheme="majorHAnsi" w:hAnsiTheme="majorHAnsi" w:cs="Tahoma"/>
        </w:rPr>
        <w:t xml:space="preserve">cuál será </w:t>
      </w:r>
      <w:r w:rsidRPr="00883E07">
        <w:rPr>
          <w:rFonts w:asciiTheme="majorHAnsi" w:hAnsiTheme="majorHAnsi" w:cs="Tahoma"/>
        </w:rPr>
        <w:t>la composición de la captura). Esta capacidad de predicción permite asegurar el abastecimiento de los productos, que en su gran mayoría se destinan al consumo humano directo. Según su valor y el tipo de acuicultura realizada, estos productos se destinan a los mercados externos de alto valor, pero también hay formas de acuicultura para producir pescados y mariscos de menor valor, en zonas donde los alimentos escasean y por ello pueden servir para la seguridad alimentaria.</w:t>
      </w:r>
    </w:p>
    <w:p w:rsidR="00EB7D5D" w:rsidRPr="00883E07" w:rsidRDefault="00EB7D5D" w:rsidP="00045098">
      <w:pPr>
        <w:autoSpaceDE w:val="0"/>
        <w:autoSpaceDN w:val="0"/>
        <w:adjustRightInd w:val="0"/>
        <w:rPr>
          <w:rFonts w:asciiTheme="majorHAnsi" w:hAnsiTheme="majorHAnsi" w:cs="Arial"/>
          <w:sz w:val="22"/>
        </w:rPr>
      </w:pPr>
    </w:p>
    <w:p w:rsidR="00EB7D5D" w:rsidRPr="00883E07" w:rsidRDefault="00EB7D5D" w:rsidP="00EB7D5D">
      <w:pPr>
        <w:autoSpaceDE w:val="0"/>
        <w:autoSpaceDN w:val="0"/>
        <w:adjustRightInd w:val="0"/>
        <w:jc w:val="both"/>
        <w:rPr>
          <w:rFonts w:asciiTheme="majorHAnsi" w:hAnsiTheme="majorHAnsi" w:cs="Arial"/>
          <w:sz w:val="22"/>
          <w:szCs w:val="22"/>
          <w:lang w:val="es-PE" w:eastAsia="es-PE"/>
        </w:rPr>
      </w:pPr>
      <w:r w:rsidRPr="00883E07">
        <w:rPr>
          <w:rFonts w:asciiTheme="majorHAnsi" w:hAnsiTheme="majorHAnsi" w:cs="Arial"/>
          <w:sz w:val="22"/>
          <w:szCs w:val="22"/>
          <w:lang w:val="es-PE" w:eastAsia="es-PE"/>
        </w:rPr>
        <w:t xml:space="preserve">De otro lado, cabe señalar que la actividad extractiva de las pesquerías, el desarrollo tecnológico actual y su impacto directo sobre el recurso han generado una disminución creciente de la disponibilidad del mismo, por la forma en que se desarrollan y sus implicaciones sobre el medio en donde se realiza (marino o continental). </w:t>
      </w:r>
    </w:p>
    <w:p w:rsidR="00EB7D5D" w:rsidRPr="00883E07" w:rsidRDefault="00EB7D5D" w:rsidP="00EB7D5D">
      <w:pPr>
        <w:autoSpaceDE w:val="0"/>
        <w:autoSpaceDN w:val="0"/>
        <w:adjustRightInd w:val="0"/>
        <w:jc w:val="both"/>
        <w:rPr>
          <w:rFonts w:asciiTheme="majorHAnsi" w:hAnsiTheme="majorHAnsi" w:cs="Arial"/>
          <w:sz w:val="22"/>
          <w:szCs w:val="22"/>
          <w:lang w:val="es-PE" w:eastAsia="es-PE"/>
        </w:rPr>
      </w:pPr>
    </w:p>
    <w:p w:rsidR="00EB7D5D" w:rsidRPr="00883E07" w:rsidRDefault="00EB7D5D" w:rsidP="00EB7D5D">
      <w:pPr>
        <w:autoSpaceDE w:val="0"/>
        <w:autoSpaceDN w:val="0"/>
        <w:adjustRightInd w:val="0"/>
        <w:jc w:val="both"/>
        <w:rPr>
          <w:rFonts w:asciiTheme="majorHAnsi" w:hAnsiTheme="majorHAnsi" w:cs="Arial"/>
          <w:sz w:val="22"/>
          <w:szCs w:val="22"/>
          <w:lang w:val="es-PE" w:eastAsia="es-PE"/>
        </w:rPr>
      </w:pPr>
      <w:r w:rsidRPr="00883E07">
        <w:rPr>
          <w:rFonts w:asciiTheme="majorHAnsi" w:hAnsiTheme="majorHAnsi" w:cs="Arial"/>
          <w:sz w:val="22"/>
          <w:szCs w:val="22"/>
          <w:lang w:val="es-PE" w:eastAsia="es-PE"/>
        </w:rPr>
        <w:t xml:space="preserve">Actualmente, la anchoveta es el recurso que sostiene la actividad extractiva marina, siendo un recurso plenamente explotado, además de la disminución del recurso merluza, bonito, caballa y jurel. En la Amazonía se nota una disminución de las especies dorado, tigre </w:t>
      </w:r>
      <w:proofErr w:type="spellStart"/>
      <w:r w:rsidRPr="00883E07">
        <w:rPr>
          <w:rFonts w:asciiTheme="majorHAnsi" w:hAnsiTheme="majorHAnsi" w:cs="Arial"/>
          <w:sz w:val="22"/>
          <w:szCs w:val="22"/>
          <w:lang w:val="es-PE" w:eastAsia="es-PE"/>
        </w:rPr>
        <w:t>zúngaro</w:t>
      </w:r>
      <w:proofErr w:type="spellEnd"/>
      <w:r w:rsidRPr="00883E07">
        <w:rPr>
          <w:rFonts w:asciiTheme="majorHAnsi" w:hAnsiTheme="majorHAnsi" w:cs="Arial"/>
          <w:sz w:val="22"/>
          <w:szCs w:val="22"/>
          <w:lang w:val="es-PE" w:eastAsia="es-PE"/>
        </w:rPr>
        <w:t xml:space="preserve">, doncella, </w:t>
      </w:r>
      <w:proofErr w:type="spellStart"/>
      <w:r w:rsidRPr="00883E07">
        <w:rPr>
          <w:rFonts w:asciiTheme="majorHAnsi" w:hAnsiTheme="majorHAnsi" w:cs="Arial"/>
          <w:sz w:val="22"/>
          <w:szCs w:val="22"/>
          <w:lang w:val="es-PE" w:eastAsia="es-PE"/>
        </w:rPr>
        <w:t>paiche</w:t>
      </w:r>
      <w:proofErr w:type="spellEnd"/>
      <w:r w:rsidRPr="00883E07">
        <w:rPr>
          <w:rFonts w:asciiTheme="majorHAnsi" w:hAnsiTheme="majorHAnsi" w:cs="Arial"/>
          <w:sz w:val="22"/>
          <w:szCs w:val="22"/>
          <w:lang w:val="es-PE" w:eastAsia="es-PE"/>
        </w:rPr>
        <w:t xml:space="preserve">, entre otros.   </w:t>
      </w:r>
    </w:p>
    <w:p w:rsidR="00EB7D5D" w:rsidRPr="00883E07" w:rsidRDefault="00EB7D5D" w:rsidP="00EB7D5D">
      <w:pPr>
        <w:jc w:val="both"/>
        <w:rPr>
          <w:rFonts w:asciiTheme="majorHAnsi" w:hAnsiTheme="majorHAnsi" w:cs="Arial"/>
          <w:sz w:val="22"/>
          <w:szCs w:val="22"/>
          <w:lang w:val="es-PE" w:eastAsia="es-PE"/>
        </w:rPr>
      </w:pPr>
    </w:p>
    <w:p w:rsidR="00EB7D5D" w:rsidRPr="00883E07" w:rsidRDefault="00EB7D5D" w:rsidP="00EB7D5D">
      <w:pPr>
        <w:jc w:val="both"/>
        <w:rPr>
          <w:rFonts w:asciiTheme="majorHAnsi" w:hAnsiTheme="majorHAnsi" w:cs="Arial"/>
          <w:sz w:val="22"/>
          <w:szCs w:val="22"/>
          <w:lang w:val="es-PE" w:eastAsia="es-PE"/>
        </w:rPr>
      </w:pPr>
      <w:r w:rsidRPr="00883E07">
        <w:rPr>
          <w:rFonts w:asciiTheme="majorHAnsi" w:hAnsiTheme="majorHAnsi" w:cs="Arial"/>
          <w:sz w:val="22"/>
          <w:szCs w:val="22"/>
          <w:lang w:val="es-PE" w:eastAsia="es-PE"/>
        </w:rPr>
        <w:t xml:space="preserve">La </w:t>
      </w:r>
      <w:r w:rsidRPr="00BF0D31">
        <w:rPr>
          <w:rFonts w:asciiTheme="majorHAnsi" w:hAnsiTheme="majorHAnsi" w:cs="Arial"/>
          <w:sz w:val="22"/>
          <w:szCs w:val="22"/>
          <w:u w:val="single"/>
          <w:lang w:val="es-PE" w:eastAsia="es-PE"/>
        </w:rPr>
        <w:t>pesca marina no es ilimitada</w:t>
      </w:r>
      <w:r w:rsidR="007D0107" w:rsidRPr="00883E07">
        <w:rPr>
          <w:rFonts w:asciiTheme="majorHAnsi" w:hAnsiTheme="majorHAnsi" w:cs="Arial"/>
          <w:sz w:val="22"/>
          <w:szCs w:val="22"/>
          <w:lang w:val="es-PE" w:eastAsia="es-PE"/>
        </w:rPr>
        <w:t xml:space="preserve"> y se ha estabilizado desde 1980 en 90 millones de toneladas no teniendo la capacidad para expandirse</w:t>
      </w:r>
      <w:r w:rsidRPr="00883E07">
        <w:rPr>
          <w:rFonts w:asciiTheme="majorHAnsi" w:hAnsiTheme="majorHAnsi" w:cs="Arial"/>
          <w:sz w:val="22"/>
          <w:szCs w:val="22"/>
          <w:lang w:val="es-PE" w:eastAsia="es-PE"/>
        </w:rPr>
        <w:t xml:space="preserve">. En el futuro, está previsto que en la mayor parte de los países las existencias de pescado procedente del mar disminuyan considerablemente, ya que se estima que las capturas han alcanzado el límite del rendimiento sostenible. Es por ello que la </w:t>
      </w:r>
      <w:r w:rsidRPr="00BF0D31">
        <w:rPr>
          <w:rFonts w:asciiTheme="majorHAnsi" w:hAnsiTheme="majorHAnsi" w:cs="Arial"/>
          <w:sz w:val="22"/>
          <w:szCs w:val="22"/>
          <w:u w:val="single"/>
          <w:lang w:val="es-PE" w:eastAsia="es-PE"/>
        </w:rPr>
        <w:t xml:space="preserve">acuicultura representa </w:t>
      </w:r>
      <w:r w:rsidR="00FE3949" w:rsidRPr="00BF0D31">
        <w:rPr>
          <w:rFonts w:asciiTheme="majorHAnsi" w:hAnsiTheme="majorHAnsi" w:cs="Arial"/>
          <w:sz w:val="22"/>
          <w:szCs w:val="22"/>
          <w:u w:val="single"/>
          <w:lang w:val="es-PE" w:eastAsia="es-PE"/>
        </w:rPr>
        <w:t xml:space="preserve">también </w:t>
      </w:r>
      <w:r w:rsidRPr="00BF0D31">
        <w:rPr>
          <w:rFonts w:asciiTheme="majorHAnsi" w:hAnsiTheme="majorHAnsi" w:cs="Arial"/>
          <w:sz w:val="22"/>
          <w:szCs w:val="22"/>
          <w:u w:val="single"/>
          <w:lang w:val="es-PE" w:eastAsia="es-PE"/>
        </w:rPr>
        <w:t>una alternativa para la supervivencia de muchas especies</w:t>
      </w:r>
      <w:r w:rsidRPr="00883E07">
        <w:rPr>
          <w:rFonts w:asciiTheme="majorHAnsi" w:hAnsiTheme="majorHAnsi" w:cs="Arial"/>
          <w:sz w:val="22"/>
          <w:szCs w:val="22"/>
          <w:lang w:val="es-PE" w:eastAsia="es-PE"/>
        </w:rPr>
        <w:t>.</w:t>
      </w:r>
    </w:p>
    <w:p w:rsidR="00EB7D5D" w:rsidRPr="00883E07" w:rsidRDefault="00EB7D5D" w:rsidP="00EB7D5D">
      <w:pPr>
        <w:jc w:val="both"/>
        <w:rPr>
          <w:rFonts w:asciiTheme="majorHAnsi" w:hAnsiTheme="majorHAnsi" w:cs="Arial"/>
          <w:sz w:val="22"/>
          <w:szCs w:val="22"/>
          <w:lang w:val="es-PE" w:eastAsia="es-PE"/>
        </w:rPr>
      </w:pPr>
    </w:p>
    <w:p w:rsidR="00EB7D5D" w:rsidRPr="00883E07" w:rsidRDefault="008A32C1" w:rsidP="00224D13">
      <w:pPr>
        <w:autoSpaceDE w:val="0"/>
        <w:autoSpaceDN w:val="0"/>
        <w:adjustRightInd w:val="0"/>
        <w:spacing w:line="288" w:lineRule="auto"/>
        <w:rPr>
          <w:rFonts w:asciiTheme="majorHAnsi" w:hAnsiTheme="majorHAnsi" w:cs="Arial"/>
          <w:sz w:val="22"/>
          <w:szCs w:val="22"/>
          <w:lang w:val="es-PE" w:eastAsia="es-PE"/>
        </w:rPr>
      </w:pPr>
      <w:r w:rsidRPr="00883E07">
        <w:rPr>
          <w:rFonts w:asciiTheme="majorHAnsi" w:hAnsiTheme="majorHAnsi" w:cs="Arial"/>
          <w:b/>
          <w:color w:val="000000" w:themeColor="text1"/>
          <w:sz w:val="22"/>
          <w:szCs w:val="22"/>
        </w:rPr>
        <w:t>Gráfico 0</w:t>
      </w:r>
      <w:r w:rsidR="00866050" w:rsidRPr="00883E07">
        <w:rPr>
          <w:rFonts w:asciiTheme="majorHAnsi" w:hAnsiTheme="majorHAnsi" w:cs="Arial"/>
          <w:b/>
          <w:color w:val="000000" w:themeColor="text1"/>
          <w:sz w:val="22"/>
          <w:szCs w:val="22"/>
        </w:rPr>
        <w:t>4</w:t>
      </w:r>
      <w:r w:rsidRPr="00883E07">
        <w:rPr>
          <w:rFonts w:asciiTheme="majorHAnsi" w:hAnsiTheme="majorHAnsi" w:cs="Arial"/>
          <w:b/>
          <w:color w:val="000000" w:themeColor="text1"/>
          <w:sz w:val="22"/>
          <w:szCs w:val="22"/>
        </w:rPr>
        <w:t xml:space="preserve">. </w:t>
      </w:r>
      <w:r w:rsidRPr="00883E07">
        <w:rPr>
          <w:rFonts w:asciiTheme="majorHAnsi" w:hAnsiTheme="majorHAnsi" w:cs="Arial"/>
          <w:color w:val="000000" w:themeColor="text1"/>
          <w:sz w:val="22"/>
          <w:szCs w:val="22"/>
        </w:rPr>
        <w:t>Desembarque de recursos hidrobiológicos para Consumo Humano Directo</w:t>
      </w:r>
      <w:r w:rsidRPr="00883E07">
        <w:rPr>
          <w:rFonts w:asciiTheme="majorHAnsi" w:hAnsiTheme="majorHAnsi"/>
          <w:noProof/>
          <w:lang w:val="es-PE" w:eastAsia="es-PE"/>
        </w:rPr>
        <w:t xml:space="preserve"> </w:t>
      </w:r>
      <w:r w:rsidRPr="00883E07">
        <w:rPr>
          <w:rFonts w:asciiTheme="majorHAnsi" w:hAnsiTheme="majorHAnsi"/>
          <w:noProof/>
          <w:lang w:val="es-PE" w:eastAsia="es-PE"/>
        </w:rPr>
        <w:drawing>
          <wp:inline distT="0" distB="0" distL="0" distR="0">
            <wp:extent cx="5400136" cy="2320506"/>
            <wp:effectExtent l="0" t="0" r="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7D5D" w:rsidRPr="00883E07" w:rsidRDefault="003136E5" w:rsidP="00EB7D5D">
      <w:pPr>
        <w:jc w:val="both"/>
        <w:rPr>
          <w:rFonts w:asciiTheme="majorHAnsi" w:hAnsiTheme="majorHAnsi" w:cs="Arial"/>
          <w:sz w:val="18"/>
          <w:szCs w:val="22"/>
          <w:lang w:val="es-PE" w:eastAsia="es-PE"/>
        </w:rPr>
      </w:pPr>
      <w:r w:rsidRPr="00883E07">
        <w:rPr>
          <w:rFonts w:asciiTheme="majorHAnsi" w:hAnsiTheme="majorHAnsi" w:cs="Arial"/>
          <w:sz w:val="18"/>
          <w:szCs w:val="22"/>
          <w:lang w:val="es-PE" w:eastAsia="es-PE"/>
        </w:rPr>
        <w:t xml:space="preserve">Fuente: </w:t>
      </w:r>
      <w:r w:rsidR="007D0107" w:rsidRPr="00883E07">
        <w:rPr>
          <w:rFonts w:asciiTheme="majorHAnsi" w:hAnsiTheme="majorHAnsi" w:cs="Arial"/>
          <w:sz w:val="18"/>
          <w:szCs w:val="22"/>
          <w:lang w:val="es-PE" w:eastAsia="es-PE"/>
        </w:rPr>
        <w:t>PRODUCE</w:t>
      </w:r>
    </w:p>
    <w:p w:rsidR="007D0107" w:rsidRPr="00883E07" w:rsidRDefault="007D0107" w:rsidP="00EB7D5D">
      <w:pPr>
        <w:jc w:val="both"/>
        <w:rPr>
          <w:rFonts w:asciiTheme="majorHAnsi" w:hAnsiTheme="majorHAnsi" w:cs="Arial"/>
          <w:sz w:val="20"/>
          <w:szCs w:val="22"/>
          <w:lang w:val="es-PE" w:eastAsia="es-PE"/>
        </w:rPr>
      </w:pPr>
    </w:p>
    <w:p w:rsidR="00EB7D5D" w:rsidRPr="00883E07" w:rsidRDefault="00EB7D5D" w:rsidP="00EB7D5D">
      <w:pPr>
        <w:jc w:val="both"/>
        <w:rPr>
          <w:rFonts w:asciiTheme="majorHAnsi" w:hAnsiTheme="majorHAnsi" w:cs="Arial"/>
          <w:sz w:val="22"/>
          <w:szCs w:val="22"/>
        </w:rPr>
      </w:pPr>
      <w:r w:rsidRPr="00883E07">
        <w:rPr>
          <w:rFonts w:asciiTheme="majorHAnsi" w:hAnsiTheme="majorHAnsi" w:cs="Arial"/>
          <w:sz w:val="22"/>
          <w:szCs w:val="22"/>
          <w:lang w:val="es-PE" w:eastAsia="es-PE"/>
        </w:rPr>
        <w:t xml:space="preserve">Es en este sentido que resulta importante promover acciones estatales concretas que permitan mantener </w:t>
      </w:r>
      <w:r w:rsidRPr="00BF0D31">
        <w:rPr>
          <w:rFonts w:asciiTheme="majorHAnsi" w:hAnsiTheme="majorHAnsi" w:cs="Arial"/>
          <w:sz w:val="22"/>
          <w:szCs w:val="22"/>
          <w:u w:val="single"/>
          <w:lang w:val="es-PE" w:eastAsia="es-PE"/>
        </w:rPr>
        <w:t xml:space="preserve">el actual crecimiento del sector, pues el desarrollo de la </w:t>
      </w:r>
      <w:r w:rsidRPr="001E008F">
        <w:rPr>
          <w:rFonts w:asciiTheme="majorHAnsi" w:hAnsiTheme="majorHAnsi" w:cs="Arial"/>
          <w:b/>
          <w:sz w:val="22"/>
          <w:szCs w:val="22"/>
          <w:u w:val="single"/>
          <w:lang w:val="es-PE" w:eastAsia="es-PE"/>
        </w:rPr>
        <w:t>actividad acuícola se constituye como un instrumento gravitante dentro de la estrategia de seguridad alimentaria</w:t>
      </w:r>
      <w:r w:rsidRPr="00883E07">
        <w:rPr>
          <w:rFonts w:asciiTheme="majorHAnsi" w:hAnsiTheme="majorHAnsi" w:cs="Arial"/>
          <w:sz w:val="22"/>
          <w:szCs w:val="22"/>
          <w:lang w:val="es-PE" w:eastAsia="es-PE"/>
        </w:rPr>
        <w:t xml:space="preserve">. Por ello, </w:t>
      </w:r>
      <w:r w:rsidR="0093334E" w:rsidRPr="00883E07">
        <w:rPr>
          <w:rFonts w:asciiTheme="majorHAnsi" w:hAnsiTheme="majorHAnsi" w:cs="Arial"/>
          <w:sz w:val="22"/>
          <w:szCs w:val="22"/>
          <w:lang w:val="es-PE" w:eastAsia="es-PE"/>
        </w:rPr>
        <w:t xml:space="preserve">además se considera importante </w:t>
      </w:r>
      <w:r w:rsidRPr="00883E07">
        <w:rPr>
          <w:rFonts w:asciiTheme="majorHAnsi" w:hAnsiTheme="majorHAnsi" w:cs="Arial"/>
          <w:sz w:val="22"/>
          <w:szCs w:val="22"/>
          <w:lang w:val="es-PE" w:eastAsia="es-PE"/>
        </w:rPr>
        <w:t xml:space="preserve">la continuidad de los beneficios tributarios otorgados mediante la Ley N° 27460 no sólo fortalecerá el desarrollo de </w:t>
      </w:r>
      <w:r w:rsidRPr="00883E07">
        <w:rPr>
          <w:rFonts w:asciiTheme="majorHAnsi" w:hAnsiTheme="majorHAnsi" w:cs="Arial"/>
          <w:sz w:val="22"/>
          <w:szCs w:val="22"/>
        </w:rPr>
        <w:t xml:space="preserve">las actividades de selección y acondicionamiento del medio, obtención o producción de semilla, siembra, cultivo o crianza, cosecha y procesamiento primario e industrial de los recursos o productos hidrobiológicos, sino que permitirá contribuir al </w:t>
      </w:r>
      <w:r w:rsidRPr="00883E07">
        <w:rPr>
          <w:rFonts w:asciiTheme="majorHAnsi" w:hAnsiTheme="majorHAnsi" w:cs="Arial"/>
          <w:sz w:val="22"/>
          <w:szCs w:val="22"/>
        </w:rPr>
        <w:lastRenderedPageBreak/>
        <w:t>progreso de las cadenas productivas vinculadas a éstas, siendo ello acorde con lo normado por el Decreto Supremo N° 027-2007-PCM en cuanto al aumento de capacidades sociales vinculadas a la seguridad alimentaria y la generación de empleo digno</w:t>
      </w:r>
      <w:r w:rsidR="0093334E" w:rsidRPr="00883E07">
        <w:rPr>
          <w:rFonts w:asciiTheme="majorHAnsi" w:hAnsiTheme="majorHAnsi" w:cs="Arial"/>
          <w:sz w:val="22"/>
          <w:szCs w:val="22"/>
        </w:rPr>
        <w:t>, además de generar un aporte en responsabilidad social</w:t>
      </w:r>
      <w:r w:rsidRPr="00883E07">
        <w:rPr>
          <w:rFonts w:asciiTheme="majorHAnsi" w:hAnsiTheme="majorHAnsi" w:cs="Arial"/>
          <w:sz w:val="22"/>
          <w:szCs w:val="22"/>
        </w:rPr>
        <w:t>.</w:t>
      </w:r>
    </w:p>
    <w:p w:rsidR="00EB7D5D" w:rsidRPr="00883E07" w:rsidRDefault="00EB7D5D" w:rsidP="00045098">
      <w:pPr>
        <w:autoSpaceDE w:val="0"/>
        <w:autoSpaceDN w:val="0"/>
        <w:adjustRightInd w:val="0"/>
        <w:rPr>
          <w:rFonts w:asciiTheme="majorHAnsi" w:hAnsiTheme="majorHAnsi" w:cs="Arial"/>
          <w:sz w:val="22"/>
        </w:rPr>
      </w:pPr>
    </w:p>
    <w:p w:rsidR="00045098" w:rsidRPr="00883E07" w:rsidRDefault="00045098" w:rsidP="00045098">
      <w:pPr>
        <w:autoSpaceDE w:val="0"/>
        <w:autoSpaceDN w:val="0"/>
        <w:adjustRightInd w:val="0"/>
        <w:rPr>
          <w:rFonts w:asciiTheme="majorHAnsi" w:hAnsiTheme="majorHAnsi" w:cs="Arial"/>
          <w:b/>
          <w:sz w:val="22"/>
          <w:u w:val="single"/>
        </w:rPr>
      </w:pPr>
      <w:r w:rsidRPr="00883E07">
        <w:rPr>
          <w:rFonts w:asciiTheme="majorHAnsi" w:hAnsiTheme="majorHAnsi" w:cs="Arial"/>
          <w:b/>
          <w:sz w:val="22"/>
          <w:u w:val="single"/>
        </w:rPr>
        <w:t>Impacto de las Normas en la Producción Acuícola</w:t>
      </w:r>
    </w:p>
    <w:p w:rsidR="00045098" w:rsidRPr="00883E07" w:rsidRDefault="00711182" w:rsidP="00711182">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En el año </w:t>
      </w:r>
      <w:r w:rsidR="005A2313" w:rsidRPr="00883E07">
        <w:rPr>
          <w:rFonts w:asciiTheme="majorHAnsi" w:hAnsiTheme="majorHAnsi" w:cs="Arial"/>
          <w:sz w:val="22"/>
          <w:szCs w:val="22"/>
        </w:rPr>
        <w:t xml:space="preserve">2001, año en que se dio la Ley N° 27460 – Ley de Promoción y Desarrollo de la Acuicultura que estableció los beneficios tributarios para la actividad, se encontraban vigentes un total de 1 277 derechos  de acuicultura,  que  representaban  una extensión de </w:t>
      </w:r>
      <w:r w:rsidR="004E08C9" w:rsidRPr="00883E07">
        <w:rPr>
          <w:rFonts w:asciiTheme="majorHAnsi" w:hAnsiTheme="majorHAnsi" w:cs="Arial"/>
          <w:sz w:val="22"/>
          <w:szCs w:val="22"/>
        </w:rPr>
        <w:t xml:space="preserve">poco </w:t>
      </w:r>
      <w:r w:rsidR="007509C2" w:rsidRPr="00883E07">
        <w:rPr>
          <w:rFonts w:asciiTheme="majorHAnsi" w:hAnsiTheme="majorHAnsi" w:cs="Arial"/>
          <w:sz w:val="22"/>
          <w:szCs w:val="22"/>
        </w:rPr>
        <w:t>más</w:t>
      </w:r>
      <w:r w:rsidR="004E08C9" w:rsidRPr="00883E07">
        <w:rPr>
          <w:rFonts w:asciiTheme="majorHAnsi" w:hAnsiTheme="majorHAnsi" w:cs="Arial"/>
          <w:sz w:val="22"/>
          <w:szCs w:val="22"/>
        </w:rPr>
        <w:t xml:space="preserve"> de </w:t>
      </w:r>
      <w:r w:rsidR="005A2313" w:rsidRPr="00883E07">
        <w:rPr>
          <w:rFonts w:asciiTheme="majorHAnsi" w:hAnsiTheme="majorHAnsi" w:cs="Arial"/>
          <w:bCs/>
          <w:sz w:val="22"/>
          <w:szCs w:val="22"/>
        </w:rPr>
        <w:t xml:space="preserve">10 </w:t>
      </w:r>
      <w:r w:rsidR="004E08C9" w:rsidRPr="00883E07">
        <w:rPr>
          <w:rFonts w:asciiTheme="majorHAnsi" w:hAnsiTheme="majorHAnsi" w:cs="Arial"/>
          <w:bCs/>
          <w:sz w:val="22"/>
          <w:szCs w:val="22"/>
        </w:rPr>
        <w:t xml:space="preserve">mil </w:t>
      </w:r>
      <w:r w:rsidR="005A2313" w:rsidRPr="00883E07">
        <w:rPr>
          <w:rFonts w:asciiTheme="majorHAnsi" w:hAnsiTheme="majorHAnsi" w:cs="Arial"/>
          <w:sz w:val="22"/>
          <w:szCs w:val="22"/>
        </w:rPr>
        <w:t>hectáreas de producción</w:t>
      </w:r>
      <w:r w:rsidRPr="00883E07">
        <w:rPr>
          <w:rFonts w:asciiTheme="majorHAnsi" w:hAnsiTheme="majorHAnsi" w:cs="Arial"/>
          <w:sz w:val="22"/>
          <w:szCs w:val="22"/>
        </w:rPr>
        <w:t xml:space="preserve"> con una cosecha total de 7,539 t. </w:t>
      </w:r>
      <w:r w:rsidR="00045098" w:rsidRPr="00883E07">
        <w:rPr>
          <w:rFonts w:asciiTheme="majorHAnsi" w:hAnsiTheme="majorHAnsi" w:cs="Arial"/>
          <w:sz w:val="22"/>
          <w:szCs w:val="22"/>
        </w:rPr>
        <w:t xml:space="preserve">En los </w:t>
      </w:r>
      <w:r w:rsidRPr="00883E07">
        <w:rPr>
          <w:rFonts w:asciiTheme="majorHAnsi" w:hAnsiTheme="majorHAnsi" w:cs="Arial"/>
          <w:sz w:val="22"/>
          <w:szCs w:val="22"/>
        </w:rPr>
        <w:t xml:space="preserve">dos </w:t>
      </w:r>
      <w:r w:rsidR="00045098" w:rsidRPr="00883E07">
        <w:rPr>
          <w:rFonts w:asciiTheme="majorHAnsi" w:hAnsiTheme="majorHAnsi" w:cs="Arial"/>
          <w:sz w:val="22"/>
          <w:szCs w:val="22"/>
        </w:rPr>
        <w:t xml:space="preserve">siguientes años se observó un incremento progresivo de la </w:t>
      </w:r>
      <w:r w:rsidRPr="00883E07">
        <w:rPr>
          <w:rFonts w:asciiTheme="majorHAnsi" w:hAnsiTheme="majorHAnsi" w:cs="Arial"/>
          <w:sz w:val="22"/>
          <w:szCs w:val="22"/>
        </w:rPr>
        <w:t xml:space="preserve">cosecha </w:t>
      </w:r>
      <w:r w:rsidR="00045098" w:rsidRPr="00883E07">
        <w:rPr>
          <w:rFonts w:asciiTheme="majorHAnsi" w:hAnsiTheme="majorHAnsi" w:cs="Arial"/>
          <w:sz w:val="22"/>
          <w:szCs w:val="22"/>
        </w:rPr>
        <w:t xml:space="preserve">alcanzando las 13,610 t en el 2003, lo cual representó un  aumento de </w:t>
      </w:r>
      <w:r w:rsidRPr="00883E07">
        <w:rPr>
          <w:rFonts w:asciiTheme="majorHAnsi" w:hAnsiTheme="majorHAnsi" w:cs="Arial"/>
          <w:sz w:val="22"/>
          <w:szCs w:val="22"/>
        </w:rPr>
        <w:t xml:space="preserve">casi </w:t>
      </w:r>
      <w:r w:rsidR="00045098" w:rsidRPr="00883E07">
        <w:rPr>
          <w:rFonts w:asciiTheme="majorHAnsi" w:hAnsiTheme="majorHAnsi" w:cs="Arial"/>
          <w:sz w:val="22"/>
          <w:szCs w:val="22"/>
        </w:rPr>
        <w:t>el 100% con respecto al año 200</w:t>
      </w:r>
      <w:r w:rsidRPr="00883E07">
        <w:rPr>
          <w:rFonts w:asciiTheme="majorHAnsi" w:hAnsiTheme="majorHAnsi" w:cs="Arial"/>
          <w:sz w:val="22"/>
          <w:szCs w:val="22"/>
        </w:rPr>
        <w:t>1</w:t>
      </w:r>
      <w:r w:rsidR="00045098" w:rsidRPr="00883E07">
        <w:rPr>
          <w:rFonts w:asciiTheme="majorHAnsi" w:hAnsiTheme="majorHAnsi" w:cs="Arial"/>
          <w:sz w:val="22"/>
          <w:szCs w:val="22"/>
        </w:rPr>
        <w:t>; llegándose a exportar 4,784 t de la producción total. Al quinto año de promulgarse la citada Ley (2005), la producción acuícola alcanza las 25,978 t, presentando un crecimiento nuevamente de casi el 100%. Igualmente  las exportaciones  alcanzaron las 9,352 t, representado un aumento de 95%  con respecto al año 2003.</w:t>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En el año 2008 luego que se declarara de interés nacional la actividad acuícola con el D. L. 1032, no se reflejó un aumento significativo de la producción, cerrando el año con un total de 43 119 t, con un crecimiento de 9.07% con respecto al año anterior (3 588 t más que el año anterior). En el año 2009 tampoco se reflejó un incremento significativo, sólo se produjeron 1 197 t más que el año anterior, representando un crecimiento de 2,77%.</w:t>
      </w:r>
    </w:p>
    <w:p w:rsidR="00045098" w:rsidRPr="00883E07" w:rsidRDefault="00045098" w:rsidP="00045098">
      <w:pPr>
        <w:autoSpaceDE w:val="0"/>
        <w:autoSpaceDN w:val="0"/>
        <w:adjustRightInd w:val="0"/>
        <w:spacing w:before="240" w:after="240"/>
        <w:jc w:val="both"/>
        <w:rPr>
          <w:rFonts w:asciiTheme="majorHAnsi" w:hAnsiTheme="majorHAnsi" w:cs="Arial"/>
          <w:sz w:val="22"/>
          <w:szCs w:val="22"/>
        </w:rPr>
      </w:pPr>
      <w:r w:rsidRPr="00883E07">
        <w:rPr>
          <w:rFonts w:asciiTheme="majorHAnsi" w:hAnsiTheme="majorHAnsi" w:cs="Arial"/>
          <w:sz w:val="22"/>
          <w:szCs w:val="22"/>
        </w:rPr>
        <w:t>Luego del estancamiento del crecimiento productivo acuícola durante tres años consecutivos, en enero del 2010, el Ministerio de la Producción decide emplear estrategias más agresivas para incentivar la actividad acuícola y aprueba el Plan Nacional de Desarrollo Acuícola-PNDA (D.S. N°001-2010-PRODUCE),  estableciéndose como la Política para el desarrollo de la acuicultura y vinculando a todos los niveles de Gobierno. De la misma manera, para alcanzar las metas trazadas en el PNDA, se ve la necesidad de promulgar la Ley que establece medidas de promoción a favor de la acuicultura (Ley N° 29644), ampliando los beneficios tributarios hasta el 31 de diciembre del 2013. El efecto fue inmediato, reflejándose en un aumento significativo de la producción anual, la cual  alcanzó las 89 021 t, más del 100% con respecto al año anterior.</w:t>
      </w:r>
    </w:p>
    <w:p w:rsidR="00045098" w:rsidRDefault="00045098" w:rsidP="00045098">
      <w:pPr>
        <w:autoSpaceDE w:val="0"/>
        <w:autoSpaceDN w:val="0"/>
        <w:adjustRightInd w:val="0"/>
        <w:spacing w:before="240" w:after="240"/>
        <w:jc w:val="both"/>
        <w:rPr>
          <w:rFonts w:asciiTheme="majorHAnsi" w:hAnsiTheme="majorHAnsi" w:cs="Arial"/>
          <w:sz w:val="22"/>
          <w:szCs w:val="22"/>
        </w:rPr>
      </w:pPr>
      <w:r w:rsidRPr="00883E07">
        <w:rPr>
          <w:rFonts w:asciiTheme="majorHAnsi" w:hAnsiTheme="majorHAnsi" w:cs="Arial"/>
          <w:sz w:val="22"/>
          <w:szCs w:val="22"/>
        </w:rPr>
        <w:t>En el año 2011 se sobrepasan las 92 mil toneladas</w:t>
      </w:r>
      <w:r w:rsidR="006A52F5" w:rsidRPr="00883E07">
        <w:rPr>
          <w:rFonts w:asciiTheme="majorHAnsi" w:hAnsiTheme="majorHAnsi" w:cs="Arial"/>
          <w:sz w:val="22"/>
          <w:szCs w:val="22"/>
        </w:rPr>
        <w:t xml:space="preserve"> </w:t>
      </w:r>
      <w:r w:rsidR="004E08C9" w:rsidRPr="00883E07">
        <w:rPr>
          <w:rFonts w:asciiTheme="majorHAnsi" w:hAnsiTheme="majorHAnsi" w:cs="Arial"/>
          <w:sz w:val="22"/>
          <w:szCs w:val="22"/>
        </w:rPr>
        <w:t xml:space="preserve">de cosecha </w:t>
      </w:r>
      <w:r w:rsidR="006A52F5" w:rsidRPr="00883E07">
        <w:rPr>
          <w:rFonts w:asciiTheme="majorHAnsi" w:hAnsiTheme="majorHAnsi" w:cs="Arial"/>
          <w:sz w:val="22"/>
          <w:szCs w:val="22"/>
        </w:rPr>
        <w:t xml:space="preserve">en las cuales participaron un total de 3,862 derechos de acuicultura </w:t>
      </w:r>
      <w:r w:rsidR="004E08C9" w:rsidRPr="00883E07">
        <w:rPr>
          <w:rFonts w:asciiTheme="majorHAnsi" w:hAnsiTheme="majorHAnsi" w:cs="Arial"/>
          <w:sz w:val="22"/>
          <w:szCs w:val="22"/>
        </w:rPr>
        <w:t xml:space="preserve">que representaban poco </w:t>
      </w:r>
      <w:r w:rsidR="007509C2" w:rsidRPr="00883E07">
        <w:rPr>
          <w:rFonts w:asciiTheme="majorHAnsi" w:hAnsiTheme="majorHAnsi" w:cs="Arial"/>
          <w:sz w:val="22"/>
          <w:szCs w:val="22"/>
        </w:rPr>
        <w:t>más</w:t>
      </w:r>
      <w:r w:rsidR="004E08C9" w:rsidRPr="00883E07">
        <w:rPr>
          <w:rFonts w:asciiTheme="majorHAnsi" w:hAnsiTheme="majorHAnsi" w:cs="Arial"/>
          <w:sz w:val="22"/>
          <w:szCs w:val="22"/>
        </w:rPr>
        <w:t xml:space="preserve"> de 26 mil hectáreas </w:t>
      </w:r>
      <w:r w:rsidR="006A52F5" w:rsidRPr="00883E07">
        <w:rPr>
          <w:rFonts w:asciiTheme="majorHAnsi" w:hAnsiTheme="majorHAnsi" w:cs="Arial"/>
          <w:sz w:val="22"/>
          <w:szCs w:val="22"/>
        </w:rPr>
        <w:t>de producción</w:t>
      </w:r>
      <w:r w:rsidRPr="00883E07">
        <w:rPr>
          <w:rFonts w:asciiTheme="majorHAnsi" w:hAnsiTheme="majorHAnsi" w:cs="Arial"/>
          <w:sz w:val="22"/>
          <w:szCs w:val="22"/>
        </w:rPr>
        <w:t xml:space="preserve">, </w:t>
      </w:r>
      <w:r w:rsidR="006A52F5" w:rsidRPr="00883E07">
        <w:rPr>
          <w:rFonts w:asciiTheme="majorHAnsi" w:hAnsiTheme="majorHAnsi" w:cs="Arial"/>
          <w:sz w:val="22"/>
          <w:szCs w:val="22"/>
        </w:rPr>
        <w:t xml:space="preserve">de </w:t>
      </w:r>
      <w:r w:rsidR="004E08C9" w:rsidRPr="00883E07">
        <w:rPr>
          <w:rFonts w:asciiTheme="majorHAnsi" w:hAnsiTheme="majorHAnsi" w:cs="Arial"/>
          <w:sz w:val="22"/>
          <w:szCs w:val="22"/>
        </w:rPr>
        <w:t xml:space="preserve">los volúmenes cosechados </w:t>
      </w:r>
      <w:r w:rsidR="006A52F5" w:rsidRPr="00883E07">
        <w:rPr>
          <w:rFonts w:asciiTheme="majorHAnsi" w:hAnsiTheme="majorHAnsi" w:cs="Arial"/>
          <w:sz w:val="22"/>
          <w:szCs w:val="22"/>
        </w:rPr>
        <w:t xml:space="preserve">se llegó </w:t>
      </w:r>
      <w:r w:rsidR="004E08C9" w:rsidRPr="00883E07">
        <w:rPr>
          <w:rFonts w:asciiTheme="majorHAnsi" w:hAnsiTheme="majorHAnsi" w:cs="Arial"/>
          <w:sz w:val="22"/>
          <w:szCs w:val="22"/>
        </w:rPr>
        <w:t xml:space="preserve">a transformar y </w:t>
      </w:r>
      <w:r w:rsidRPr="00883E07">
        <w:rPr>
          <w:rFonts w:asciiTheme="majorHAnsi" w:hAnsiTheme="majorHAnsi" w:cs="Arial"/>
          <w:sz w:val="22"/>
          <w:szCs w:val="22"/>
        </w:rPr>
        <w:t xml:space="preserve">exportar 28 739 toneladas. Los principales productos exportados para ese año fueron concha de abanico (11 414 t), langostino (15 404 t), trucha (1 650 t), tilapia (239 t) y </w:t>
      </w:r>
      <w:proofErr w:type="spellStart"/>
      <w:r w:rsidRPr="00883E07">
        <w:rPr>
          <w:rFonts w:asciiTheme="majorHAnsi" w:hAnsiTheme="majorHAnsi" w:cs="Arial"/>
          <w:sz w:val="22"/>
          <w:szCs w:val="22"/>
        </w:rPr>
        <w:t>paiche</w:t>
      </w:r>
      <w:proofErr w:type="spellEnd"/>
      <w:r w:rsidRPr="00883E07">
        <w:rPr>
          <w:rFonts w:asciiTheme="majorHAnsi" w:hAnsiTheme="majorHAnsi" w:cs="Arial"/>
          <w:sz w:val="22"/>
          <w:szCs w:val="22"/>
        </w:rPr>
        <w:t xml:space="preserve"> (32 t). En el año 2012, a causa de un evento climático que afectó la cosecha de concha de abanico, la producción anual cayó a más  del 30%, terminando el año con una producción de 65 283 toneladas, además de la crisis mundial, la baja de precios en el mercado internacional, el alza de los combustibles y mano de obra. Comparando los mismos productos exportados para ese año, tenemos concha de abanico 4 463 t (-60,8%), langostino 12 989 t (-15,6%), trucha 1 322 t (-19,8%), tilapia 192 t (-19,6%) y </w:t>
      </w:r>
      <w:proofErr w:type="spellStart"/>
      <w:r w:rsidRPr="00883E07">
        <w:rPr>
          <w:rFonts w:asciiTheme="majorHAnsi" w:hAnsiTheme="majorHAnsi" w:cs="Arial"/>
          <w:sz w:val="22"/>
          <w:szCs w:val="22"/>
        </w:rPr>
        <w:t>paiche</w:t>
      </w:r>
      <w:proofErr w:type="spellEnd"/>
      <w:r w:rsidRPr="00883E07">
        <w:rPr>
          <w:rFonts w:asciiTheme="majorHAnsi" w:hAnsiTheme="majorHAnsi" w:cs="Arial"/>
          <w:sz w:val="22"/>
          <w:szCs w:val="22"/>
        </w:rPr>
        <w:t xml:space="preserve"> 89 t (+ 178,1%). </w:t>
      </w:r>
    </w:p>
    <w:p w:rsidR="00045098" w:rsidRPr="00883E07" w:rsidRDefault="00045098" w:rsidP="00045098">
      <w:pPr>
        <w:pStyle w:val="Default"/>
        <w:spacing w:before="100" w:after="100" w:line="288" w:lineRule="auto"/>
        <w:jc w:val="both"/>
        <w:rPr>
          <w:rFonts w:asciiTheme="majorHAnsi" w:hAnsiTheme="majorHAnsi" w:cs="Arial"/>
          <w:bCs/>
          <w:sz w:val="22"/>
          <w:szCs w:val="22"/>
        </w:rPr>
      </w:pPr>
      <w:r w:rsidRPr="00883E07">
        <w:rPr>
          <w:rFonts w:asciiTheme="majorHAnsi" w:hAnsiTheme="majorHAnsi" w:cs="Arial"/>
          <w:b/>
          <w:sz w:val="22"/>
          <w:szCs w:val="22"/>
        </w:rPr>
        <w:t>Gráfico 0</w:t>
      </w:r>
      <w:r w:rsidR="00866050" w:rsidRPr="00883E07">
        <w:rPr>
          <w:rFonts w:asciiTheme="majorHAnsi" w:hAnsiTheme="majorHAnsi" w:cs="Arial"/>
          <w:b/>
          <w:sz w:val="22"/>
          <w:szCs w:val="22"/>
        </w:rPr>
        <w:t>5</w:t>
      </w:r>
      <w:r w:rsidRPr="00883E07">
        <w:rPr>
          <w:rFonts w:asciiTheme="majorHAnsi" w:hAnsiTheme="majorHAnsi" w:cs="Arial"/>
          <w:b/>
          <w:sz w:val="22"/>
          <w:szCs w:val="22"/>
        </w:rPr>
        <w:t>.</w:t>
      </w:r>
      <w:r w:rsidRPr="00883E07">
        <w:rPr>
          <w:rFonts w:asciiTheme="majorHAnsi" w:hAnsiTheme="majorHAnsi" w:cs="Arial"/>
          <w:sz w:val="22"/>
          <w:szCs w:val="22"/>
        </w:rPr>
        <w:t xml:space="preserve"> Impacto de las normas sobre la evolución de la acuicultura peruana</w:t>
      </w:r>
      <w:r w:rsidR="007E41C3">
        <w:rPr>
          <w:rFonts w:asciiTheme="majorHAnsi" w:hAnsiTheme="majorHAnsi" w:cs="Arial"/>
          <w:bCs/>
          <w:noProof/>
          <w:sz w:val="22"/>
          <w:szCs w:val="22"/>
          <w:lang w:eastAsia="es-ES"/>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5" type="#_x0000_t80" style="position:absolute;left:0;text-align:left;margin-left:397.05pt;margin-top:16.15pt;width:53.6pt;height:87.6pt;z-index:251656704;mso-position-horizontal-relative:text;mso-position-vertical-relative:text">
            <v:textbox style="mso-next-textbox:#_x0000_s1045">
              <w:txbxContent>
                <w:p w:rsidR="007E41C3" w:rsidRDefault="007E41C3" w:rsidP="00045098">
                  <w:pPr>
                    <w:jc w:val="center"/>
                    <w:rPr>
                      <w:b/>
                      <w:sz w:val="18"/>
                    </w:rPr>
                  </w:pPr>
                  <w:r>
                    <w:rPr>
                      <w:b/>
                      <w:sz w:val="18"/>
                    </w:rPr>
                    <w:t>Crisis Mundial</w:t>
                  </w:r>
                </w:p>
                <w:p w:rsidR="007E41C3" w:rsidRDefault="007E41C3" w:rsidP="00045098">
                  <w:pPr>
                    <w:jc w:val="center"/>
                    <w:rPr>
                      <w:b/>
                      <w:sz w:val="18"/>
                    </w:rPr>
                  </w:pPr>
                  <w:r>
                    <w:rPr>
                      <w:b/>
                      <w:sz w:val="18"/>
                    </w:rPr>
                    <w:t>Y</w:t>
                  </w:r>
                </w:p>
                <w:p w:rsidR="007E41C3" w:rsidRPr="00E96A62" w:rsidRDefault="007E41C3" w:rsidP="00045098">
                  <w:pPr>
                    <w:jc w:val="center"/>
                    <w:rPr>
                      <w:b/>
                      <w:sz w:val="18"/>
                    </w:rPr>
                  </w:pPr>
                  <w:r>
                    <w:rPr>
                      <w:b/>
                      <w:sz w:val="18"/>
                    </w:rPr>
                    <w:t>Efecto climático</w:t>
                  </w:r>
                </w:p>
              </w:txbxContent>
            </v:textbox>
          </v:shape>
        </w:pict>
      </w:r>
    </w:p>
    <w:p w:rsidR="00045098" w:rsidRPr="00883E07" w:rsidRDefault="007E41C3" w:rsidP="00045098">
      <w:pPr>
        <w:pStyle w:val="Default"/>
        <w:spacing w:before="100" w:after="100" w:line="288" w:lineRule="auto"/>
        <w:jc w:val="center"/>
        <w:rPr>
          <w:rFonts w:asciiTheme="majorHAnsi" w:hAnsiTheme="majorHAnsi" w:cs="Arial"/>
          <w:bCs/>
          <w:sz w:val="22"/>
          <w:szCs w:val="22"/>
        </w:rPr>
      </w:pPr>
      <w:r>
        <w:rPr>
          <w:rFonts w:asciiTheme="majorHAnsi" w:hAnsiTheme="majorHAnsi" w:cs="Arial"/>
          <w:bCs/>
          <w:noProof/>
          <w:sz w:val="22"/>
          <w:szCs w:val="22"/>
          <w:lang w:eastAsia="es-ES"/>
        </w:rPr>
        <w:lastRenderedPageBreak/>
        <w:pict>
          <v:shape id="_x0000_s1044" type="#_x0000_t80" style="position:absolute;left:0;text-align:left;margin-left:336.9pt;margin-top:127.9pt;width:53.85pt;height:1in;z-index:251657728">
            <v:textbox>
              <w:txbxContent>
                <w:p w:rsidR="007E41C3" w:rsidRDefault="007E41C3" w:rsidP="00045098">
                  <w:pPr>
                    <w:rPr>
                      <w:b/>
                      <w:sz w:val="18"/>
                    </w:rPr>
                  </w:pPr>
                  <w:r w:rsidRPr="00E96A62">
                    <w:rPr>
                      <w:b/>
                      <w:sz w:val="18"/>
                    </w:rPr>
                    <w:t>Ley 29644</w:t>
                  </w:r>
                </w:p>
                <w:p w:rsidR="007E41C3" w:rsidRDefault="007E41C3" w:rsidP="00045098">
                  <w:pPr>
                    <w:jc w:val="center"/>
                    <w:rPr>
                      <w:b/>
                      <w:sz w:val="18"/>
                    </w:rPr>
                  </w:pPr>
                  <w:r>
                    <w:rPr>
                      <w:b/>
                      <w:sz w:val="18"/>
                    </w:rPr>
                    <w:t>D.S.</w:t>
                  </w:r>
                </w:p>
                <w:p w:rsidR="007E41C3" w:rsidRPr="00E96A62" w:rsidRDefault="007E41C3" w:rsidP="00045098">
                  <w:pPr>
                    <w:jc w:val="center"/>
                    <w:rPr>
                      <w:b/>
                      <w:sz w:val="18"/>
                    </w:rPr>
                  </w:pPr>
                  <w:r>
                    <w:rPr>
                      <w:b/>
                      <w:sz w:val="18"/>
                    </w:rPr>
                    <w:t>001-2010-PRODUCE</w:t>
                  </w:r>
                </w:p>
              </w:txbxContent>
            </v:textbox>
          </v:shape>
        </w:pict>
      </w:r>
      <w:r>
        <w:rPr>
          <w:rFonts w:asciiTheme="majorHAnsi" w:hAnsiTheme="majorHAnsi" w:cs="Arial"/>
          <w:bCs/>
          <w:noProof/>
          <w:sz w:val="22"/>
          <w:szCs w:val="22"/>
          <w:lang w:eastAsia="es-ES"/>
        </w:rPr>
        <w:pict>
          <v:shape id="_x0000_s1043" type="#_x0000_t80" style="position:absolute;left:0;text-align:left;margin-left:289.35pt;margin-top:61.45pt;width:35.15pt;height:57.95pt;z-index:251658752">
            <v:textbox>
              <w:txbxContent>
                <w:p w:rsidR="007E41C3" w:rsidRPr="00454352" w:rsidRDefault="007E41C3" w:rsidP="00045098">
                  <w:pPr>
                    <w:jc w:val="center"/>
                    <w:rPr>
                      <w:b/>
                      <w:sz w:val="18"/>
                    </w:rPr>
                  </w:pPr>
                  <w:r w:rsidRPr="00454352">
                    <w:rPr>
                      <w:b/>
                      <w:sz w:val="18"/>
                    </w:rPr>
                    <w:t>D.L. 1032</w:t>
                  </w:r>
                </w:p>
              </w:txbxContent>
            </v:textbox>
          </v:shape>
        </w:pict>
      </w:r>
      <w:r>
        <w:rPr>
          <w:rFonts w:asciiTheme="majorHAnsi" w:hAnsiTheme="majorHAnsi" w:cs="Arial"/>
          <w:bCs/>
          <w:noProof/>
          <w:sz w:val="22"/>
          <w:szCs w:val="22"/>
          <w:lang w:eastAsia="es-ES"/>
        </w:rPr>
        <w:pict>
          <v:shape id="_x0000_s1042" type="#_x0000_t80" style="position:absolute;left:0;text-align:left;margin-left:61.45pt;margin-top:133.45pt;width:40.15pt;height:57.25pt;z-index:251659776">
            <v:textbox>
              <w:txbxContent>
                <w:p w:rsidR="007E41C3" w:rsidRPr="00454352" w:rsidRDefault="007E41C3" w:rsidP="00045098">
                  <w:pPr>
                    <w:jc w:val="center"/>
                    <w:rPr>
                      <w:b/>
                      <w:sz w:val="18"/>
                    </w:rPr>
                  </w:pPr>
                  <w:r w:rsidRPr="00454352">
                    <w:rPr>
                      <w:b/>
                      <w:sz w:val="18"/>
                    </w:rPr>
                    <w:t>Ley 27460</w:t>
                  </w:r>
                </w:p>
              </w:txbxContent>
            </v:textbox>
          </v:shape>
        </w:pict>
      </w:r>
      <w:r w:rsidR="00045098" w:rsidRPr="00883E07">
        <w:rPr>
          <w:rFonts w:asciiTheme="majorHAnsi" w:hAnsiTheme="majorHAnsi" w:cs="Arial"/>
          <w:bCs/>
          <w:noProof/>
          <w:sz w:val="22"/>
          <w:szCs w:val="22"/>
          <w:lang w:val="es-PE" w:eastAsia="es-PE"/>
        </w:rPr>
        <w:drawing>
          <wp:inline distT="0" distB="0" distL="0" distR="0">
            <wp:extent cx="5656521" cy="3125972"/>
            <wp:effectExtent l="0" t="0" r="0" b="0"/>
            <wp:docPr id="2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5098" w:rsidRPr="00883E07" w:rsidRDefault="00045098" w:rsidP="00045098">
      <w:pPr>
        <w:spacing w:before="240" w:after="240"/>
        <w:jc w:val="both"/>
        <w:rPr>
          <w:rFonts w:asciiTheme="majorHAnsi" w:hAnsiTheme="majorHAnsi" w:cs="Arial"/>
          <w:sz w:val="16"/>
          <w:szCs w:val="16"/>
        </w:rPr>
      </w:pPr>
      <w:r w:rsidRPr="00883E07">
        <w:rPr>
          <w:rFonts w:asciiTheme="majorHAnsi" w:hAnsiTheme="majorHAnsi" w:cs="Arial"/>
          <w:sz w:val="16"/>
          <w:szCs w:val="16"/>
        </w:rPr>
        <w:t>Fuente: DIAC-DGCHD</w:t>
      </w:r>
    </w:p>
    <w:p w:rsidR="00045098" w:rsidRPr="00883E07" w:rsidRDefault="00045098" w:rsidP="00045098">
      <w:pPr>
        <w:spacing w:before="240" w:after="240"/>
        <w:jc w:val="both"/>
        <w:rPr>
          <w:rFonts w:asciiTheme="majorHAnsi" w:hAnsiTheme="majorHAnsi" w:cs="Arial"/>
          <w:i/>
          <w:sz w:val="22"/>
          <w:szCs w:val="22"/>
        </w:rPr>
      </w:pPr>
      <w:r w:rsidRPr="00883E07">
        <w:rPr>
          <w:rFonts w:asciiTheme="majorHAnsi" w:hAnsiTheme="majorHAnsi" w:cs="Arial"/>
          <w:i/>
          <w:sz w:val="22"/>
          <w:szCs w:val="22"/>
        </w:rPr>
        <w:t xml:space="preserve">Se puede resumir que la normativa implementada para el desarrollo de la acuicultura sí tuvo un impacto positivo en el desarrollo productivo de la actividad acuícola nacional, siendo acertada en la mayoría de los casos. Gracias a esta implementación, en los últimos 10 años, esta actividad económica reflejo un crecimiento anual promedio del 20%, colocando al Perú en el 5to productor acuícola más importante de América Latina y el Caribe durante los años 2008 al 2011. </w:t>
      </w:r>
    </w:p>
    <w:p w:rsidR="00045098" w:rsidRPr="00883E07" w:rsidRDefault="00045098" w:rsidP="0093334E">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Se han trazado nuevas metas para el año 2016, queriéndose llegar a las 135 mil toneladas de producción anual, así mismo alcanzar las 39 mil toneladas exportadas y 27 mil toneladas para el mercado interno, por lo que es necesario implementar </w:t>
      </w:r>
      <w:r w:rsidR="0093334E" w:rsidRPr="00883E07">
        <w:rPr>
          <w:rFonts w:asciiTheme="majorHAnsi" w:hAnsiTheme="majorHAnsi" w:cs="Arial"/>
          <w:sz w:val="22"/>
          <w:szCs w:val="22"/>
        </w:rPr>
        <w:t xml:space="preserve">un nuevo marco normativo y medidas que permitan fortalecer el ordenamiento y desarrollo de la acuicultura, </w:t>
      </w:r>
      <w:r w:rsidR="00AF69FF" w:rsidRPr="00883E07">
        <w:rPr>
          <w:rFonts w:asciiTheme="majorHAnsi" w:hAnsiTheme="majorHAnsi" w:cs="Arial"/>
          <w:sz w:val="22"/>
          <w:szCs w:val="22"/>
        </w:rPr>
        <w:t xml:space="preserve">fomentar la inserción de la pequeña y mediana acuicultura a los modelos empresariales existentes, </w:t>
      </w:r>
      <w:r w:rsidRPr="00883E07">
        <w:rPr>
          <w:rFonts w:asciiTheme="majorHAnsi" w:hAnsiTheme="majorHAnsi" w:cs="Arial"/>
          <w:sz w:val="22"/>
          <w:szCs w:val="22"/>
        </w:rPr>
        <w:t xml:space="preserve">incentivar la inversión en acuicultura </w:t>
      </w:r>
      <w:r w:rsidR="00AF69FF" w:rsidRPr="00883E07">
        <w:rPr>
          <w:rFonts w:asciiTheme="majorHAnsi" w:hAnsiTheme="majorHAnsi" w:cs="Arial"/>
          <w:sz w:val="22"/>
          <w:szCs w:val="22"/>
        </w:rPr>
        <w:t>a gran escala</w:t>
      </w:r>
      <w:r w:rsidR="00F55FEB" w:rsidRPr="00883E07">
        <w:rPr>
          <w:rFonts w:asciiTheme="majorHAnsi" w:hAnsiTheme="majorHAnsi" w:cs="Arial"/>
          <w:sz w:val="22"/>
          <w:szCs w:val="22"/>
        </w:rPr>
        <w:t>, impulsar la diversificación en acuicultura</w:t>
      </w:r>
      <w:r w:rsidR="00AF69FF" w:rsidRPr="00883E07">
        <w:rPr>
          <w:rFonts w:asciiTheme="majorHAnsi" w:hAnsiTheme="majorHAnsi" w:cs="Arial"/>
          <w:sz w:val="22"/>
          <w:szCs w:val="22"/>
        </w:rPr>
        <w:t xml:space="preserve"> y </w:t>
      </w:r>
      <w:r w:rsidRPr="00883E07">
        <w:rPr>
          <w:rFonts w:asciiTheme="majorHAnsi" w:hAnsiTheme="majorHAnsi" w:cs="Arial"/>
          <w:sz w:val="22"/>
          <w:szCs w:val="22"/>
        </w:rPr>
        <w:t xml:space="preserve">mantener por un periodo prolongado aquellas medidas que influenciaron positivamente en </w:t>
      </w:r>
      <w:r w:rsidR="00F55FEB" w:rsidRPr="00883E07">
        <w:rPr>
          <w:rFonts w:asciiTheme="majorHAnsi" w:hAnsiTheme="majorHAnsi" w:cs="Arial"/>
          <w:sz w:val="22"/>
          <w:szCs w:val="22"/>
        </w:rPr>
        <w:t xml:space="preserve">el crecimiento y desarrollo de la actividad </w:t>
      </w:r>
      <w:r w:rsidRPr="00883E07">
        <w:rPr>
          <w:rFonts w:asciiTheme="majorHAnsi" w:hAnsiTheme="majorHAnsi" w:cs="Arial"/>
          <w:sz w:val="22"/>
          <w:szCs w:val="22"/>
        </w:rPr>
        <w:t>acuícola.</w:t>
      </w:r>
    </w:p>
    <w:p w:rsidR="00642250" w:rsidRPr="00883E07" w:rsidRDefault="00642250" w:rsidP="00DB43D6">
      <w:pPr>
        <w:autoSpaceDE w:val="0"/>
        <w:autoSpaceDN w:val="0"/>
        <w:adjustRightInd w:val="0"/>
        <w:rPr>
          <w:rFonts w:asciiTheme="majorHAnsi" w:hAnsiTheme="majorHAnsi" w:cs="Arial"/>
          <w:b/>
          <w:sz w:val="22"/>
          <w:u w:val="single"/>
        </w:rPr>
      </w:pPr>
      <w:r w:rsidRPr="00883E07">
        <w:rPr>
          <w:rFonts w:asciiTheme="majorHAnsi" w:hAnsiTheme="majorHAnsi" w:cs="Arial"/>
          <w:b/>
          <w:sz w:val="22"/>
          <w:u w:val="single"/>
        </w:rPr>
        <w:t>Aspectos Productivos</w:t>
      </w:r>
    </w:p>
    <w:p w:rsidR="00642250" w:rsidRPr="00883E07" w:rsidRDefault="00642250" w:rsidP="003D353B">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Los cultivos que tienen un mayor desarrollo son los de concha de abanico, langostino, trucha, tilapia, gamitana y </w:t>
      </w:r>
      <w:proofErr w:type="spellStart"/>
      <w:r w:rsidRPr="00883E07">
        <w:rPr>
          <w:rFonts w:asciiTheme="majorHAnsi" w:hAnsiTheme="majorHAnsi" w:cs="Arial"/>
          <w:sz w:val="22"/>
          <w:szCs w:val="22"/>
        </w:rPr>
        <w:t>paiche</w:t>
      </w:r>
      <w:proofErr w:type="spellEnd"/>
      <w:r w:rsidRPr="00883E07">
        <w:rPr>
          <w:rFonts w:asciiTheme="majorHAnsi" w:hAnsiTheme="majorHAnsi" w:cs="Arial"/>
          <w:sz w:val="22"/>
          <w:szCs w:val="22"/>
        </w:rPr>
        <w:t xml:space="preserve">, cuyas producciones son destinadas principalmente a la exportación. Si analizamos el crecimiento productivo de estas especies vemos que en concha de abanico, en el año 2003, se reportó una producción de 6,670 t y al año 2011 se alcanzó una producción de 52,213 t, mostrando un incremento productivo de 782%; en langostino el crecimiento productivo fue de 492%, con una producción de 16 370 t  para los mismos años; el crecimiento productivo de trucha fue de 641% con una producción de 19,962 t, la de tilapia fue de 2 163% con una producción de 2,423 t, el de gamitana de 257% con una producción de  522 t y el de </w:t>
      </w:r>
      <w:proofErr w:type="spellStart"/>
      <w:r w:rsidRPr="00883E07">
        <w:rPr>
          <w:rFonts w:asciiTheme="majorHAnsi" w:hAnsiTheme="majorHAnsi" w:cs="Arial"/>
          <w:sz w:val="22"/>
          <w:szCs w:val="22"/>
        </w:rPr>
        <w:t>paiche</w:t>
      </w:r>
      <w:proofErr w:type="spellEnd"/>
      <w:r w:rsidRPr="00883E07">
        <w:rPr>
          <w:rFonts w:asciiTheme="majorHAnsi" w:hAnsiTheme="majorHAnsi" w:cs="Arial"/>
          <w:sz w:val="22"/>
          <w:szCs w:val="22"/>
        </w:rPr>
        <w:t xml:space="preserve"> 422 t</w:t>
      </w:r>
      <w:r w:rsidRPr="00883E07">
        <w:rPr>
          <w:rFonts w:asciiTheme="majorHAnsi" w:hAnsiTheme="majorHAnsi"/>
          <w:vertAlign w:val="superscript"/>
        </w:rPr>
        <w:footnoteReference w:id="2"/>
      </w:r>
    </w:p>
    <w:p w:rsidR="00642250" w:rsidRPr="00883E07" w:rsidRDefault="00642250" w:rsidP="00642250">
      <w:pPr>
        <w:autoSpaceDE w:val="0"/>
        <w:autoSpaceDN w:val="0"/>
        <w:adjustRightInd w:val="0"/>
        <w:spacing w:line="288" w:lineRule="auto"/>
        <w:jc w:val="both"/>
        <w:rPr>
          <w:rFonts w:asciiTheme="majorHAnsi" w:hAnsiTheme="majorHAnsi" w:cs="Arial"/>
          <w:color w:val="000000" w:themeColor="text1"/>
          <w:sz w:val="22"/>
          <w:szCs w:val="22"/>
        </w:rPr>
      </w:pPr>
      <w:r w:rsidRPr="00883E07">
        <w:rPr>
          <w:rFonts w:asciiTheme="majorHAnsi" w:hAnsiTheme="majorHAnsi" w:cs="Arial"/>
          <w:b/>
          <w:color w:val="000000" w:themeColor="text1"/>
          <w:sz w:val="22"/>
          <w:szCs w:val="22"/>
        </w:rPr>
        <w:t>Grafico 0</w:t>
      </w:r>
      <w:r w:rsidR="00866050" w:rsidRPr="00883E07">
        <w:rPr>
          <w:rFonts w:asciiTheme="majorHAnsi" w:hAnsiTheme="majorHAnsi" w:cs="Arial"/>
          <w:b/>
          <w:color w:val="000000" w:themeColor="text1"/>
          <w:sz w:val="22"/>
          <w:szCs w:val="22"/>
        </w:rPr>
        <w:t>6</w:t>
      </w:r>
      <w:r w:rsidRPr="00883E07">
        <w:rPr>
          <w:rFonts w:asciiTheme="majorHAnsi" w:hAnsiTheme="majorHAnsi" w:cs="Arial"/>
          <w:b/>
          <w:color w:val="000000" w:themeColor="text1"/>
          <w:sz w:val="22"/>
          <w:szCs w:val="22"/>
        </w:rPr>
        <w:t>.</w:t>
      </w:r>
      <w:r w:rsidRPr="00883E07">
        <w:rPr>
          <w:rFonts w:asciiTheme="majorHAnsi" w:hAnsiTheme="majorHAnsi" w:cs="Arial"/>
          <w:color w:val="000000" w:themeColor="text1"/>
          <w:sz w:val="22"/>
          <w:szCs w:val="22"/>
        </w:rPr>
        <w:t xml:space="preserve"> </w:t>
      </w:r>
      <w:r w:rsidR="0093334E" w:rsidRPr="00883E07">
        <w:rPr>
          <w:rFonts w:asciiTheme="majorHAnsi" w:hAnsiTheme="majorHAnsi" w:cs="Arial"/>
          <w:color w:val="000000" w:themeColor="text1"/>
          <w:sz w:val="22"/>
          <w:szCs w:val="22"/>
        </w:rPr>
        <w:t xml:space="preserve">Cosecha de acuicultura </w:t>
      </w:r>
      <w:r w:rsidRPr="00883E07">
        <w:rPr>
          <w:rFonts w:asciiTheme="majorHAnsi" w:hAnsiTheme="majorHAnsi" w:cs="Arial"/>
          <w:color w:val="000000" w:themeColor="text1"/>
          <w:sz w:val="22"/>
          <w:szCs w:val="22"/>
        </w:rPr>
        <w:t>en los últimos 10 años</w:t>
      </w:r>
    </w:p>
    <w:p w:rsidR="00642250" w:rsidRPr="00883E07" w:rsidRDefault="00642250" w:rsidP="00642250">
      <w:pPr>
        <w:autoSpaceDE w:val="0"/>
        <w:autoSpaceDN w:val="0"/>
        <w:adjustRightInd w:val="0"/>
        <w:spacing w:line="288" w:lineRule="auto"/>
        <w:jc w:val="both"/>
        <w:rPr>
          <w:rFonts w:asciiTheme="majorHAnsi" w:hAnsiTheme="majorHAnsi" w:cs="Arial"/>
          <w:color w:val="000000" w:themeColor="text1"/>
          <w:sz w:val="22"/>
          <w:szCs w:val="22"/>
        </w:rPr>
      </w:pPr>
      <w:r w:rsidRPr="00883E07">
        <w:rPr>
          <w:rFonts w:asciiTheme="majorHAnsi" w:hAnsiTheme="majorHAnsi" w:cs="Arial"/>
          <w:noProof/>
          <w:color w:val="000000" w:themeColor="text1"/>
          <w:sz w:val="22"/>
          <w:szCs w:val="22"/>
          <w:lang w:val="es-PE" w:eastAsia="es-PE"/>
        </w:rPr>
        <w:lastRenderedPageBreak/>
        <w:drawing>
          <wp:inline distT="0" distB="0" distL="0" distR="0">
            <wp:extent cx="5401339" cy="3088800"/>
            <wp:effectExtent l="0" t="0" r="0" b="0"/>
            <wp:docPr id="2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2250" w:rsidRPr="00883E07" w:rsidRDefault="00642250" w:rsidP="00642250">
      <w:pPr>
        <w:autoSpaceDE w:val="0"/>
        <w:autoSpaceDN w:val="0"/>
        <w:adjustRightInd w:val="0"/>
        <w:spacing w:line="288" w:lineRule="auto"/>
        <w:rPr>
          <w:rFonts w:asciiTheme="majorHAnsi" w:hAnsiTheme="majorHAnsi" w:cs="Arial"/>
          <w:sz w:val="16"/>
          <w:szCs w:val="22"/>
        </w:rPr>
      </w:pPr>
      <w:r w:rsidRPr="00883E07">
        <w:rPr>
          <w:rFonts w:asciiTheme="majorHAnsi" w:hAnsiTheme="majorHAnsi" w:cs="Arial"/>
          <w:sz w:val="16"/>
          <w:szCs w:val="22"/>
        </w:rPr>
        <w:t>Fuente: PRODUCE</w:t>
      </w:r>
    </w:p>
    <w:p w:rsidR="00642250" w:rsidRPr="00883E07" w:rsidRDefault="00642250" w:rsidP="0057276A">
      <w:pPr>
        <w:autoSpaceDE w:val="0"/>
        <w:autoSpaceDN w:val="0"/>
        <w:adjustRightInd w:val="0"/>
        <w:spacing w:before="240" w:after="240"/>
        <w:jc w:val="both"/>
        <w:rPr>
          <w:rFonts w:asciiTheme="majorHAnsi" w:hAnsiTheme="majorHAnsi" w:cs="Arial"/>
          <w:i/>
          <w:color w:val="000000" w:themeColor="text1"/>
          <w:sz w:val="22"/>
          <w:szCs w:val="22"/>
        </w:rPr>
      </w:pPr>
      <w:r w:rsidRPr="00883E07">
        <w:rPr>
          <w:rFonts w:asciiTheme="majorHAnsi" w:hAnsiTheme="majorHAnsi" w:cs="Arial"/>
          <w:i/>
          <w:color w:val="000000" w:themeColor="text1"/>
          <w:sz w:val="22"/>
          <w:szCs w:val="22"/>
        </w:rPr>
        <w:t>Luego de la normativa emitida en el año en 2008 que declara de interés nacional la actividad de acuicultura y en 2010 para la ampliación los beneficios tributarios y aprobar el Plan Nacional de Desarrollo Acuícola, se registró un incremento significativo de más del 100% de las cosechas con respecto al año anterior</w:t>
      </w:r>
    </w:p>
    <w:p w:rsidR="00642250" w:rsidRPr="00883E07" w:rsidRDefault="00642250" w:rsidP="00642250">
      <w:pPr>
        <w:autoSpaceDE w:val="0"/>
        <w:autoSpaceDN w:val="0"/>
        <w:adjustRightInd w:val="0"/>
        <w:spacing w:line="288" w:lineRule="auto"/>
        <w:jc w:val="both"/>
        <w:rPr>
          <w:rFonts w:asciiTheme="majorHAnsi" w:hAnsiTheme="majorHAnsi" w:cs="Arial"/>
          <w:color w:val="000000" w:themeColor="text1"/>
          <w:sz w:val="22"/>
          <w:szCs w:val="22"/>
        </w:rPr>
      </w:pPr>
      <w:r w:rsidRPr="00883E07">
        <w:rPr>
          <w:rFonts w:asciiTheme="majorHAnsi" w:hAnsiTheme="majorHAnsi" w:cs="Arial"/>
          <w:b/>
          <w:color w:val="000000" w:themeColor="text1"/>
          <w:sz w:val="22"/>
          <w:szCs w:val="22"/>
        </w:rPr>
        <w:t>Tabla 0</w:t>
      </w:r>
      <w:r w:rsidR="00FD775E" w:rsidRPr="00883E07">
        <w:rPr>
          <w:rFonts w:asciiTheme="majorHAnsi" w:hAnsiTheme="majorHAnsi" w:cs="Arial"/>
          <w:b/>
          <w:color w:val="000000" w:themeColor="text1"/>
          <w:sz w:val="22"/>
          <w:szCs w:val="22"/>
        </w:rPr>
        <w:t>4</w:t>
      </w:r>
      <w:r w:rsidRPr="00883E07">
        <w:rPr>
          <w:rFonts w:asciiTheme="majorHAnsi" w:hAnsiTheme="majorHAnsi" w:cs="Arial"/>
          <w:b/>
          <w:color w:val="000000" w:themeColor="text1"/>
          <w:sz w:val="22"/>
          <w:szCs w:val="22"/>
        </w:rPr>
        <w:t>.</w:t>
      </w:r>
      <w:r w:rsidRPr="00883E07">
        <w:rPr>
          <w:rFonts w:asciiTheme="majorHAnsi" w:hAnsiTheme="majorHAnsi" w:cs="Arial"/>
          <w:color w:val="000000" w:themeColor="text1"/>
          <w:sz w:val="22"/>
          <w:szCs w:val="22"/>
        </w:rPr>
        <w:t xml:space="preserve"> Principales especies de la actividad acuícola</w:t>
      </w:r>
    </w:p>
    <w:tbl>
      <w:tblPr>
        <w:tblpPr w:leftFromText="141" w:rightFromText="141" w:vertAnchor="text" w:horzAnchor="page" w:tblpX="1675" w:tblpY="117"/>
        <w:tblW w:w="8633" w:type="dxa"/>
        <w:tblCellMar>
          <w:left w:w="0" w:type="dxa"/>
          <w:right w:w="0" w:type="dxa"/>
        </w:tblCellMar>
        <w:tblLook w:val="04A0" w:firstRow="1" w:lastRow="0" w:firstColumn="1" w:lastColumn="0" w:noHBand="0" w:noVBand="1"/>
      </w:tblPr>
      <w:tblGrid>
        <w:gridCol w:w="1764"/>
        <w:gridCol w:w="686"/>
        <w:gridCol w:w="687"/>
        <w:gridCol w:w="687"/>
        <w:gridCol w:w="687"/>
        <w:gridCol w:w="687"/>
        <w:gridCol w:w="687"/>
        <w:gridCol w:w="687"/>
        <w:gridCol w:w="687"/>
        <w:gridCol w:w="687"/>
        <w:gridCol w:w="687"/>
      </w:tblGrid>
      <w:tr w:rsidR="00642250" w:rsidRPr="00883E07" w:rsidTr="00642250">
        <w:trPr>
          <w:trHeight w:val="300"/>
        </w:trPr>
        <w:tc>
          <w:tcPr>
            <w:tcW w:w="1764"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both"/>
              <w:rPr>
                <w:rFonts w:asciiTheme="majorHAnsi" w:hAnsiTheme="majorHAnsi" w:cs="Arial"/>
                <w:color w:val="FFFFFF" w:themeColor="background1"/>
                <w:sz w:val="18"/>
                <w:szCs w:val="18"/>
              </w:rPr>
            </w:pPr>
            <w:r w:rsidRPr="00883E07">
              <w:rPr>
                <w:rFonts w:asciiTheme="majorHAnsi" w:hAnsiTheme="majorHAnsi" w:cs="Arial"/>
                <w:b/>
                <w:bCs/>
                <w:color w:val="FFFFFF" w:themeColor="background1"/>
                <w:sz w:val="18"/>
                <w:szCs w:val="18"/>
              </w:rPr>
              <w:t>Especie</w:t>
            </w:r>
          </w:p>
        </w:tc>
        <w:tc>
          <w:tcPr>
            <w:tcW w:w="686"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ind w:left="-487" w:firstLine="487"/>
              <w:jc w:val="center"/>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2003</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center"/>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2004</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center"/>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2005</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center"/>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2006</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center"/>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2007</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center"/>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2008</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center"/>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2009</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center"/>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2010</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center"/>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2011</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center"/>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2012 (*)</w:t>
            </w:r>
          </w:p>
        </w:tc>
      </w:tr>
      <w:tr w:rsidR="00642250" w:rsidRPr="00883E07" w:rsidTr="00642250">
        <w:trPr>
          <w:trHeight w:val="233"/>
        </w:trPr>
        <w:tc>
          <w:tcPr>
            <w:tcW w:w="1764"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both"/>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 xml:space="preserve"> Concha de Abanico</w:t>
            </w:r>
          </w:p>
        </w:tc>
        <w:tc>
          <w:tcPr>
            <w:tcW w:w="686"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6,670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10,484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11,066</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12,337</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18,518</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14,802</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16,047</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58,101</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52,213</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24,439</w:t>
            </w:r>
          </w:p>
        </w:tc>
      </w:tr>
      <w:tr w:rsidR="00642250" w:rsidRPr="00883E07" w:rsidTr="00642250">
        <w:trPr>
          <w:trHeight w:val="122"/>
        </w:trPr>
        <w:tc>
          <w:tcPr>
            <w:tcW w:w="1764"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both"/>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 xml:space="preserve"> Langostino</w:t>
            </w:r>
          </w:p>
        </w:tc>
        <w:tc>
          <w:tcPr>
            <w:tcW w:w="686"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3,328</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5,073</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8,324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9,257</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11,657</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13,314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13,425</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13,598</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16,379</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17,100</w:t>
            </w:r>
          </w:p>
        </w:tc>
      </w:tr>
      <w:tr w:rsidR="00642250" w:rsidRPr="00883E07" w:rsidTr="00642250">
        <w:trPr>
          <w:trHeight w:val="66"/>
        </w:trPr>
        <w:tc>
          <w:tcPr>
            <w:tcW w:w="1764"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both"/>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 xml:space="preserve"> Trucha</w:t>
            </w:r>
          </w:p>
        </w:tc>
        <w:tc>
          <w:tcPr>
            <w:tcW w:w="686"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3,111</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4,699</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5,475</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5,794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6,997</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12,497</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12,817</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14,250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19,962</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20,100</w:t>
            </w:r>
          </w:p>
        </w:tc>
      </w:tr>
      <w:tr w:rsidR="00642250" w:rsidRPr="00883E07" w:rsidTr="00642250">
        <w:trPr>
          <w:trHeight w:val="128"/>
        </w:trPr>
        <w:tc>
          <w:tcPr>
            <w:tcW w:w="1764"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both"/>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 xml:space="preserve"> Tilapia</w:t>
            </w:r>
          </w:p>
        </w:tc>
        <w:tc>
          <w:tcPr>
            <w:tcW w:w="686"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112</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1,326</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619</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494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1,741</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1,714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1,261</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2,013</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2,423</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2,435</w:t>
            </w:r>
          </w:p>
        </w:tc>
      </w:tr>
      <w:tr w:rsidR="00642250" w:rsidRPr="00883E07" w:rsidTr="00642250">
        <w:trPr>
          <w:trHeight w:val="66"/>
        </w:trPr>
        <w:tc>
          <w:tcPr>
            <w:tcW w:w="1764"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both"/>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 xml:space="preserve"> Gamitana</w:t>
            </w:r>
          </w:p>
        </w:tc>
        <w:tc>
          <w:tcPr>
            <w:tcW w:w="686"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203</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240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251</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344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414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540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564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680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522</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524</w:t>
            </w:r>
          </w:p>
        </w:tc>
      </w:tr>
      <w:tr w:rsidR="00642250" w:rsidRPr="00883E07" w:rsidTr="00642250">
        <w:trPr>
          <w:trHeight w:val="149"/>
        </w:trPr>
        <w:tc>
          <w:tcPr>
            <w:tcW w:w="1764"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both"/>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 xml:space="preserve"> </w:t>
            </w:r>
            <w:proofErr w:type="spellStart"/>
            <w:r w:rsidRPr="00883E07">
              <w:rPr>
                <w:rFonts w:asciiTheme="majorHAnsi" w:hAnsiTheme="majorHAnsi" w:cs="Arial"/>
                <w:b/>
                <w:bCs/>
                <w:color w:val="000000" w:themeColor="text1"/>
                <w:sz w:val="16"/>
                <w:szCs w:val="18"/>
              </w:rPr>
              <w:t>Paiche</w:t>
            </w:r>
            <w:proofErr w:type="spellEnd"/>
          </w:p>
        </w:tc>
        <w:tc>
          <w:tcPr>
            <w:tcW w:w="686"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0</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48</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422</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425</w:t>
            </w:r>
          </w:p>
        </w:tc>
      </w:tr>
      <w:tr w:rsidR="00642250" w:rsidRPr="00883E07" w:rsidTr="00642250">
        <w:trPr>
          <w:trHeight w:val="81"/>
        </w:trPr>
        <w:tc>
          <w:tcPr>
            <w:tcW w:w="1764"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both"/>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 xml:space="preserve"> Otras Especies</w:t>
            </w:r>
          </w:p>
        </w:tc>
        <w:tc>
          <w:tcPr>
            <w:tcW w:w="686"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186</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291</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244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161</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204</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252</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202</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331</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279</w:t>
            </w:r>
          </w:p>
        </w:tc>
        <w:tc>
          <w:tcPr>
            <w:tcW w:w="687" w:type="dxa"/>
            <w:tcBorders>
              <w:top w:val="nil"/>
              <w:left w:val="nil"/>
              <w:bottom w:val="nil"/>
              <w:right w:val="nil"/>
            </w:tcBorders>
            <w:shd w:val="clear" w:color="auto" w:fill="FFFFFF"/>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000000" w:themeColor="text1"/>
                <w:sz w:val="16"/>
                <w:szCs w:val="18"/>
              </w:rPr>
            </w:pPr>
            <w:r w:rsidRPr="00883E07">
              <w:rPr>
                <w:rFonts w:asciiTheme="majorHAnsi" w:hAnsiTheme="majorHAnsi" w:cs="Arial"/>
                <w:b/>
                <w:bCs/>
                <w:color w:val="000000" w:themeColor="text1"/>
                <w:sz w:val="16"/>
                <w:szCs w:val="18"/>
              </w:rPr>
              <w:t>260</w:t>
            </w:r>
          </w:p>
        </w:tc>
      </w:tr>
      <w:tr w:rsidR="00642250" w:rsidRPr="00883E07" w:rsidTr="00642250">
        <w:trPr>
          <w:trHeight w:val="66"/>
        </w:trPr>
        <w:tc>
          <w:tcPr>
            <w:tcW w:w="1764"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both"/>
              <w:rPr>
                <w:rFonts w:asciiTheme="majorHAnsi" w:hAnsiTheme="majorHAnsi" w:cs="Arial"/>
                <w:color w:val="FFFFFF" w:themeColor="background1"/>
                <w:sz w:val="18"/>
                <w:szCs w:val="18"/>
              </w:rPr>
            </w:pPr>
            <w:r w:rsidRPr="00883E07">
              <w:rPr>
                <w:rFonts w:asciiTheme="majorHAnsi" w:hAnsiTheme="majorHAnsi" w:cs="Arial"/>
                <w:b/>
                <w:bCs/>
                <w:color w:val="FFFFFF" w:themeColor="background1"/>
                <w:sz w:val="18"/>
                <w:szCs w:val="18"/>
              </w:rPr>
              <w:t xml:space="preserve"> Total</w:t>
            </w:r>
          </w:p>
        </w:tc>
        <w:tc>
          <w:tcPr>
            <w:tcW w:w="686"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13,610</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22,114</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25,978</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28,387</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39,531</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43,119</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44,316</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89,021</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92,201</w:t>
            </w:r>
          </w:p>
        </w:tc>
        <w:tc>
          <w:tcPr>
            <w:tcW w:w="687" w:type="dxa"/>
            <w:tcBorders>
              <w:top w:val="nil"/>
              <w:left w:val="nil"/>
              <w:bottom w:val="nil"/>
              <w:right w:val="nil"/>
            </w:tcBorders>
            <w:shd w:val="clear" w:color="auto" w:fill="C00000"/>
            <w:tcMar>
              <w:top w:w="14" w:type="dxa"/>
              <w:left w:w="14" w:type="dxa"/>
              <w:bottom w:w="0" w:type="dxa"/>
              <w:right w:w="14" w:type="dxa"/>
            </w:tcMar>
            <w:vAlign w:val="center"/>
            <w:hideMark/>
          </w:tcPr>
          <w:p w:rsidR="00642250" w:rsidRPr="00883E07" w:rsidRDefault="00642250" w:rsidP="00642250">
            <w:pPr>
              <w:autoSpaceDE w:val="0"/>
              <w:autoSpaceDN w:val="0"/>
              <w:adjustRightInd w:val="0"/>
              <w:jc w:val="right"/>
              <w:rPr>
                <w:rFonts w:asciiTheme="majorHAnsi" w:hAnsiTheme="majorHAnsi" w:cs="Arial"/>
                <w:color w:val="FFFFFF" w:themeColor="background1"/>
                <w:sz w:val="16"/>
                <w:szCs w:val="18"/>
              </w:rPr>
            </w:pPr>
            <w:r w:rsidRPr="00883E07">
              <w:rPr>
                <w:rFonts w:asciiTheme="majorHAnsi" w:hAnsiTheme="majorHAnsi" w:cs="Arial"/>
                <w:b/>
                <w:bCs/>
                <w:color w:val="FFFFFF" w:themeColor="background1"/>
                <w:sz w:val="16"/>
                <w:szCs w:val="18"/>
              </w:rPr>
              <w:t>65,283</w:t>
            </w:r>
          </w:p>
        </w:tc>
      </w:tr>
    </w:tbl>
    <w:p w:rsidR="00642250" w:rsidRPr="00883E07" w:rsidRDefault="00642250" w:rsidP="00642250">
      <w:pPr>
        <w:autoSpaceDE w:val="0"/>
        <w:autoSpaceDN w:val="0"/>
        <w:adjustRightInd w:val="0"/>
        <w:spacing w:line="288" w:lineRule="auto"/>
        <w:jc w:val="both"/>
        <w:rPr>
          <w:rFonts w:asciiTheme="majorHAnsi" w:hAnsiTheme="majorHAnsi" w:cs="Arial"/>
          <w:sz w:val="22"/>
          <w:szCs w:val="22"/>
        </w:rPr>
      </w:pPr>
      <w:r w:rsidRPr="00883E07">
        <w:rPr>
          <w:rFonts w:asciiTheme="majorHAnsi" w:hAnsiTheme="majorHAnsi" w:cs="Arial"/>
          <w:sz w:val="22"/>
          <w:szCs w:val="22"/>
        </w:rPr>
        <w:t xml:space="preserve">                                                                                                     </w:t>
      </w:r>
      <w:r w:rsidRPr="00883E07">
        <w:rPr>
          <w:rFonts w:asciiTheme="majorHAnsi" w:hAnsiTheme="majorHAnsi" w:cs="Arial"/>
          <w:sz w:val="22"/>
          <w:szCs w:val="22"/>
        </w:rPr>
        <w:tab/>
        <w:t xml:space="preserve">         </w:t>
      </w:r>
    </w:p>
    <w:p w:rsidR="00642250" w:rsidRPr="00883E07" w:rsidRDefault="00642250" w:rsidP="00642250">
      <w:pPr>
        <w:autoSpaceDE w:val="0"/>
        <w:autoSpaceDN w:val="0"/>
        <w:adjustRightInd w:val="0"/>
        <w:spacing w:line="288" w:lineRule="auto"/>
        <w:jc w:val="both"/>
        <w:rPr>
          <w:rFonts w:asciiTheme="majorHAnsi" w:hAnsiTheme="majorHAnsi" w:cs="Arial"/>
          <w:sz w:val="16"/>
          <w:szCs w:val="22"/>
        </w:rPr>
      </w:pPr>
      <w:r w:rsidRPr="00883E07">
        <w:rPr>
          <w:rFonts w:asciiTheme="majorHAnsi" w:hAnsiTheme="majorHAnsi" w:cs="Arial"/>
          <w:sz w:val="16"/>
          <w:szCs w:val="22"/>
        </w:rPr>
        <w:t>Fuente: PRODUCE</w:t>
      </w:r>
    </w:p>
    <w:p w:rsidR="00642250" w:rsidRPr="00883E07" w:rsidRDefault="00642250" w:rsidP="00642250">
      <w:pPr>
        <w:autoSpaceDE w:val="0"/>
        <w:autoSpaceDN w:val="0"/>
        <w:adjustRightInd w:val="0"/>
        <w:spacing w:line="288" w:lineRule="auto"/>
        <w:rPr>
          <w:rFonts w:asciiTheme="majorHAnsi" w:hAnsiTheme="majorHAnsi" w:cs="Arial"/>
          <w:color w:val="000000" w:themeColor="text1"/>
          <w:sz w:val="16"/>
          <w:szCs w:val="22"/>
        </w:rPr>
      </w:pPr>
      <w:r w:rsidRPr="00883E07">
        <w:rPr>
          <w:rFonts w:asciiTheme="majorHAnsi" w:hAnsiTheme="majorHAnsi" w:cs="Arial"/>
          <w:color w:val="000000" w:themeColor="text1"/>
          <w:sz w:val="16"/>
          <w:szCs w:val="22"/>
        </w:rPr>
        <w:t>(*) Cifra preliminar sujeta a reajuste</w:t>
      </w:r>
    </w:p>
    <w:p w:rsidR="00642250" w:rsidRPr="00883E07" w:rsidRDefault="00642250" w:rsidP="0057276A">
      <w:pPr>
        <w:autoSpaceDE w:val="0"/>
        <w:autoSpaceDN w:val="0"/>
        <w:adjustRightInd w:val="0"/>
        <w:spacing w:before="240" w:after="240"/>
        <w:jc w:val="both"/>
        <w:rPr>
          <w:rFonts w:asciiTheme="majorHAnsi" w:hAnsiTheme="majorHAnsi" w:cs="Arial"/>
          <w:sz w:val="22"/>
          <w:szCs w:val="22"/>
        </w:rPr>
      </w:pPr>
      <w:r w:rsidRPr="00883E07">
        <w:rPr>
          <w:rFonts w:asciiTheme="majorHAnsi" w:hAnsiTheme="majorHAnsi" w:cs="Arial"/>
          <w:sz w:val="22"/>
          <w:szCs w:val="22"/>
        </w:rPr>
        <w:t xml:space="preserve">Las regiones </w:t>
      </w:r>
      <w:r w:rsidR="0093334E" w:rsidRPr="00883E07">
        <w:rPr>
          <w:rFonts w:asciiTheme="majorHAnsi" w:hAnsiTheme="majorHAnsi" w:cs="Arial"/>
          <w:sz w:val="22"/>
          <w:szCs w:val="22"/>
        </w:rPr>
        <w:t xml:space="preserve">que por sus condiciones se ha vienen convirtiendo en importantes zonas </w:t>
      </w:r>
      <w:r w:rsidRPr="00883E07">
        <w:rPr>
          <w:rFonts w:asciiTheme="majorHAnsi" w:hAnsiTheme="majorHAnsi" w:cs="Arial"/>
          <w:sz w:val="22"/>
          <w:szCs w:val="22"/>
        </w:rPr>
        <w:t xml:space="preserve">con mayor actividad acuícola son: Piura con la producción de concha de abanico en Sechura y tilapia en Sullana; Tumbes con langostinos; Ancash con concha de abanico en </w:t>
      </w:r>
      <w:proofErr w:type="spellStart"/>
      <w:r w:rsidRPr="00883E07">
        <w:rPr>
          <w:rFonts w:asciiTheme="majorHAnsi" w:hAnsiTheme="majorHAnsi" w:cs="Arial"/>
          <w:sz w:val="22"/>
          <w:szCs w:val="22"/>
        </w:rPr>
        <w:t>Samanco</w:t>
      </w:r>
      <w:proofErr w:type="spellEnd"/>
      <w:r w:rsidRPr="00883E07">
        <w:rPr>
          <w:rFonts w:asciiTheme="majorHAnsi" w:hAnsiTheme="majorHAnsi" w:cs="Arial"/>
          <w:sz w:val="22"/>
          <w:szCs w:val="22"/>
        </w:rPr>
        <w:t xml:space="preserve"> y </w:t>
      </w:r>
      <w:proofErr w:type="spellStart"/>
      <w:r w:rsidRPr="00883E07">
        <w:rPr>
          <w:rFonts w:asciiTheme="majorHAnsi" w:hAnsiTheme="majorHAnsi" w:cs="Arial"/>
          <w:sz w:val="22"/>
          <w:szCs w:val="22"/>
        </w:rPr>
        <w:t>Casma</w:t>
      </w:r>
      <w:proofErr w:type="spellEnd"/>
      <w:r w:rsidRPr="00883E07">
        <w:rPr>
          <w:rFonts w:asciiTheme="majorHAnsi" w:hAnsiTheme="majorHAnsi" w:cs="Arial"/>
          <w:sz w:val="22"/>
          <w:szCs w:val="22"/>
        </w:rPr>
        <w:t xml:space="preserve"> y lenguado en </w:t>
      </w:r>
      <w:proofErr w:type="spellStart"/>
      <w:r w:rsidRPr="00883E07">
        <w:rPr>
          <w:rFonts w:asciiTheme="majorHAnsi" w:hAnsiTheme="majorHAnsi" w:cs="Arial"/>
          <w:sz w:val="22"/>
          <w:szCs w:val="22"/>
        </w:rPr>
        <w:t>Huarmey</w:t>
      </w:r>
      <w:proofErr w:type="spellEnd"/>
      <w:r w:rsidRPr="00883E07">
        <w:rPr>
          <w:rFonts w:asciiTheme="majorHAnsi" w:hAnsiTheme="majorHAnsi" w:cs="Arial"/>
          <w:sz w:val="22"/>
          <w:szCs w:val="22"/>
        </w:rPr>
        <w:t xml:space="preserve">; Ica con concha de abanico en Pisco y lenguado en Chincha; Lima con cochayuyo (algas) en </w:t>
      </w:r>
      <w:proofErr w:type="spellStart"/>
      <w:r w:rsidRPr="00883E07">
        <w:rPr>
          <w:rFonts w:asciiTheme="majorHAnsi" w:hAnsiTheme="majorHAnsi" w:cs="Arial"/>
          <w:sz w:val="22"/>
          <w:szCs w:val="22"/>
        </w:rPr>
        <w:t>Pucusana</w:t>
      </w:r>
      <w:proofErr w:type="spellEnd"/>
      <w:r w:rsidRPr="00883E07">
        <w:rPr>
          <w:rFonts w:asciiTheme="majorHAnsi" w:hAnsiTheme="majorHAnsi" w:cs="Arial"/>
          <w:sz w:val="22"/>
          <w:szCs w:val="22"/>
        </w:rPr>
        <w:t xml:space="preserve">; Huancavelica, Junín, Ayacucho, Pasco y Puno con trucha, San Martín con tilapia; Loreto con gamitana, paco, sábalo y </w:t>
      </w:r>
      <w:proofErr w:type="spellStart"/>
      <w:r w:rsidRPr="00883E07">
        <w:rPr>
          <w:rFonts w:asciiTheme="majorHAnsi" w:hAnsiTheme="majorHAnsi" w:cs="Arial"/>
          <w:sz w:val="22"/>
          <w:szCs w:val="22"/>
        </w:rPr>
        <w:t>paiche</w:t>
      </w:r>
      <w:proofErr w:type="spellEnd"/>
      <w:r w:rsidRPr="00883E07">
        <w:rPr>
          <w:rFonts w:asciiTheme="majorHAnsi" w:hAnsiTheme="majorHAnsi" w:cs="Arial"/>
          <w:sz w:val="22"/>
          <w:szCs w:val="22"/>
        </w:rPr>
        <w:t xml:space="preserve"> en Iquitos. Esto refleja que en el 50% de departamentos del Perú la producción acuícola se viene intensificando como una actividad económica. Cabe indicar que en todo el país se desarroll</w:t>
      </w:r>
      <w:r w:rsidR="0093334E" w:rsidRPr="00883E07">
        <w:rPr>
          <w:rFonts w:asciiTheme="majorHAnsi" w:hAnsiTheme="majorHAnsi" w:cs="Arial"/>
          <w:sz w:val="22"/>
          <w:szCs w:val="22"/>
        </w:rPr>
        <w:t>a</w:t>
      </w:r>
      <w:r w:rsidRPr="00883E07">
        <w:rPr>
          <w:rFonts w:asciiTheme="majorHAnsi" w:hAnsiTheme="majorHAnsi" w:cs="Arial"/>
          <w:sz w:val="22"/>
          <w:szCs w:val="22"/>
        </w:rPr>
        <w:t xml:space="preserve"> la actividad de acuicultura en diferentes grados de intensidad.</w:t>
      </w:r>
    </w:p>
    <w:p w:rsidR="00642250" w:rsidRPr="00883E07" w:rsidRDefault="00DB43D6" w:rsidP="00DB43D6">
      <w:pPr>
        <w:autoSpaceDE w:val="0"/>
        <w:autoSpaceDN w:val="0"/>
        <w:adjustRightInd w:val="0"/>
        <w:rPr>
          <w:rFonts w:asciiTheme="majorHAnsi" w:hAnsiTheme="majorHAnsi" w:cs="Arial"/>
          <w:b/>
          <w:sz w:val="22"/>
          <w:u w:val="single"/>
        </w:rPr>
      </w:pPr>
      <w:r w:rsidRPr="00883E07">
        <w:rPr>
          <w:rFonts w:asciiTheme="majorHAnsi" w:hAnsiTheme="majorHAnsi" w:cs="Arial"/>
          <w:b/>
          <w:sz w:val="22"/>
          <w:u w:val="single"/>
        </w:rPr>
        <w:t>Aspectos Sociales</w:t>
      </w:r>
    </w:p>
    <w:p w:rsidR="00642250" w:rsidRPr="00883E07" w:rsidRDefault="00642250" w:rsidP="0057276A">
      <w:pPr>
        <w:autoSpaceDE w:val="0"/>
        <w:autoSpaceDN w:val="0"/>
        <w:adjustRightInd w:val="0"/>
        <w:spacing w:before="240" w:after="240"/>
        <w:jc w:val="both"/>
        <w:rPr>
          <w:rFonts w:asciiTheme="majorHAnsi" w:hAnsiTheme="majorHAnsi" w:cs="Arial"/>
          <w:sz w:val="22"/>
          <w:szCs w:val="22"/>
        </w:rPr>
      </w:pPr>
      <w:r w:rsidRPr="00883E07">
        <w:rPr>
          <w:rFonts w:asciiTheme="majorHAnsi" w:hAnsiTheme="majorHAnsi" w:cs="Arial"/>
          <w:sz w:val="22"/>
          <w:szCs w:val="22"/>
        </w:rPr>
        <w:t xml:space="preserve">Se calcula que esta actividad económica brinda empleo directo e indirecto a un total de 81,917 personas y es un medio de subsistencia para 324,748 personas, contribuyendo al desarrollo económico y social especialmente de las zonas </w:t>
      </w:r>
      <w:proofErr w:type="spellStart"/>
      <w:r w:rsidRPr="00883E07">
        <w:rPr>
          <w:rFonts w:asciiTheme="majorHAnsi" w:hAnsiTheme="majorHAnsi" w:cs="Arial"/>
          <w:sz w:val="22"/>
          <w:szCs w:val="22"/>
        </w:rPr>
        <w:t>altoandinas</w:t>
      </w:r>
      <w:proofErr w:type="spellEnd"/>
      <w:r w:rsidRPr="00883E07">
        <w:rPr>
          <w:rFonts w:asciiTheme="majorHAnsi" w:hAnsiTheme="majorHAnsi" w:cs="Arial"/>
          <w:sz w:val="22"/>
          <w:szCs w:val="22"/>
        </w:rPr>
        <w:t xml:space="preserve"> y zonas tropicales, </w:t>
      </w:r>
      <w:r w:rsidRPr="00883E07">
        <w:rPr>
          <w:rFonts w:asciiTheme="majorHAnsi" w:hAnsiTheme="majorHAnsi" w:cs="Arial"/>
          <w:sz w:val="22"/>
          <w:szCs w:val="22"/>
        </w:rPr>
        <w:lastRenderedPageBreak/>
        <w:t>permitiendo que comunidades de escasos recursos del interior del país y de recursos limitados generen ingresos económicos, contribuyendo con la mejora de su calidad de vida a través de la Acuicultura de Recursos Limitados (AREL), que corresponde a “la actividad que se practica sobre la base de autoempleo; sea de forma exclusiva o complementaria, en condiciones de carencia de uno o más recursos que impiden su auto-sostenibilidad productiva y la cobertura de la canasta básica familiar en la región que se desarrolle” (FAO 2012)</w:t>
      </w:r>
    </w:p>
    <w:p w:rsidR="00642250" w:rsidRPr="00883E07" w:rsidRDefault="00642250" w:rsidP="0057276A">
      <w:pPr>
        <w:autoSpaceDE w:val="0"/>
        <w:autoSpaceDN w:val="0"/>
        <w:adjustRightInd w:val="0"/>
        <w:spacing w:before="240" w:after="240"/>
        <w:jc w:val="both"/>
        <w:rPr>
          <w:rFonts w:asciiTheme="majorHAnsi" w:hAnsiTheme="majorHAnsi" w:cs="Arial"/>
          <w:sz w:val="22"/>
          <w:szCs w:val="22"/>
        </w:rPr>
      </w:pPr>
      <w:r w:rsidRPr="00883E07">
        <w:rPr>
          <w:rFonts w:asciiTheme="majorHAnsi" w:hAnsiTheme="majorHAnsi" w:cs="Arial"/>
          <w:sz w:val="22"/>
          <w:szCs w:val="22"/>
        </w:rPr>
        <w:t xml:space="preserve">De igual modo, como consecuencia de los beneficios tributarios en la actividad de acuicultura ha permitido que un total de 36 empresas de mayor escala que han tenido rentas, efectúe un aporte en responsabilidad social a las comunidades de su alrededor por un monto de poco </w:t>
      </w:r>
      <w:proofErr w:type="spellStart"/>
      <w:r w:rsidRPr="00883E07">
        <w:rPr>
          <w:rFonts w:asciiTheme="majorHAnsi" w:hAnsiTheme="majorHAnsi" w:cs="Arial"/>
          <w:sz w:val="22"/>
          <w:szCs w:val="22"/>
        </w:rPr>
        <w:t>mas</w:t>
      </w:r>
      <w:proofErr w:type="spellEnd"/>
      <w:r w:rsidRPr="00883E07">
        <w:rPr>
          <w:rFonts w:asciiTheme="majorHAnsi" w:hAnsiTheme="majorHAnsi" w:cs="Arial"/>
          <w:sz w:val="22"/>
          <w:szCs w:val="22"/>
        </w:rPr>
        <w:t xml:space="preserve"> de 822 mil Nuevos Soles, los cuales fueron destinados para temas de educación, infraestructura, salud y generación de ingresos.</w:t>
      </w:r>
    </w:p>
    <w:p w:rsidR="00642250" w:rsidRPr="00883E07" w:rsidRDefault="00642250" w:rsidP="00642250">
      <w:pPr>
        <w:autoSpaceDE w:val="0"/>
        <w:autoSpaceDN w:val="0"/>
        <w:adjustRightInd w:val="0"/>
        <w:spacing w:line="288" w:lineRule="auto"/>
        <w:jc w:val="both"/>
        <w:rPr>
          <w:rFonts w:asciiTheme="majorHAnsi" w:hAnsiTheme="majorHAnsi" w:cs="Arial"/>
          <w:sz w:val="22"/>
          <w:szCs w:val="22"/>
        </w:rPr>
      </w:pPr>
      <w:r w:rsidRPr="00883E07">
        <w:rPr>
          <w:rFonts w:asciiTheme="majorHAnsi" w:hAnsiTheme="majorHAnsi" w:cs="Arial"/>
          <w:b/>
          <w:sz w:val="22"/>
          <w:szCs w:val="22"/>
        </w:rPr>
        <w:t>Tabla 0</w:t>
      </w:r>
      <w:r w:rsidR="00FD775E" w:rsidRPr="00883E07">
        <w:rPr>
          <w:rFonts w:asciiTheme="majorHAnsi" w:hAnsiTheme="majorHAnsi" w:cs="Arial"/>
          <w:b/>
          <w:sz w:val="22"/>
          <w:szCs w:val="22"/>
        </w:rPr>
        <w:t>5</w:t>
      </w:r>
      <w:r w:rsidRPr="00883E07">
        <w:rPr>
          <w:rFonts w:asciiTheme="majorHAnsi" w:hAnsiTheme="majorHAnsi" w:cs="Arial"/>
          <w:b/>
          <w:sz w:val="22"/>
          <w:szCs w:val="22"/>
        </w:rPr>
        <w:t xml:space="preserve">. </w:t>
      </w:r>
      <w:r w:rsidRPr="00883E07">
        <w:rPr>
          <w:rFonts w:asciiTheme="majorHAnsi" w:hAnsiTheme="majorHAnsi" w:cs="Arial"/>
          <w:sz w:val="22"/>
          <w:szCs w:val="22"/>
        </w:rPr>
        <w:t>Aporte en responsabilidad social</w:t>
      </w:r>
    </w:p>
    <w:p w:rsidR="00DB43D6" w:rsidRPr="00883E07" w:rsidRDefault="00DB43D6" w:rsidP="00642250">
      <w:pPr>
        <w:autoSpaceDE w:val="0"/>
        <w:autoSpaceDN w:val="0"/>
        <w:adjustRightInd w:val="0"/>
        <w:spacing w:line="288" w:lineRule="auto"/>
        <w:jc w:val="both"/>
        <w:rPr>
          <w:rFonts w:asciiTheme="majorHAnsi" w:hAnsiTheme="majorHAnsi" w:cs="Arial"/>
          <w:b/>
          <w:sz w:val="22"/>
          <w:szCs w:val="22"/>
        </w:rPr>
      </w:pPr>
      <w:r w:rsidRPr="00883E07">
        <w:rPr>
          <w:rFonts w:asciiTheme="majorHAnsi" w:hAnsiTheme="majorHAnsi" w:cs="Arial"/>
          <w:b/>
          <w:noProof/>
          <w:sz w:val="22"/>
          <w:szCs w:val="22"/>
          <w:lang w:val="es-PE" w:eastAsia="es-PE"/>
        </w:rPr>
        <w:drawing>
          <wp:anchor distT="0" distB="0" distL="114300" distR="114300" simplePos="0" relativeHeight="251655680" behindDoc="0" locked="0" layoutInCell="1" allowOverlap="1">
            <wp:simplePos x="0" y="0"/>
            <wp:positionH relativeFrom="column">
              <wp:posOffset>2481580</wp:posOffset>
            </wp:positionH>
            <wp:positionV relativeFrom="paragraph">
              <wp:posOffset>161925</wp:posOffset>
            </wp:positionV>
            <wp:extent cx="3005455" cy="1788795"/>
            <wp:effectExtent l="0" t="0" r="0" b="0"/>
            <wp:wrapNone/>
            <wp:docPr id="2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bl>
      <w:tblPr>
        <w:tblW w:w="3561" w:type="dxa"/>
        <w:tblCellMar>
          <w:left w:w="0" w:type="dxa"/>
          <w:right w:w="0" w:type="dxa"/>
        </w:tblCellMar>
        <w:tblLook w:val="04A0" w:firstRow="1" w:lastRow="0" w:firstColumn="1" w:lastColumn="0" w:noHBand="0" w:noVBand="1"/>
      </w:tblPr>
      <w:tblGrid>
        <w:gridCol w:w="1860"/>
        <w:gridCol w:w="992"/>
        <w:gridCol w:w="709"/>
      </w:tblGrid>
      <w:tr w:rsidR="00642250" w:rsidRPr="00883E07" w:rsidTr="00DB43D6">
        <w:trPr>
          <w:trHeight w:val="300"/>
        </w:trPr>
        <w:tc>
          <w:tcPr>
            <w:tcW w:w="1860" w:type="dxa"/>
            <w:tcBorders>
              <w:top w:val="nil"/>
              <w:left w:val="nil"/>
              <w:bottom w:val="nil"/>
              <w:right w:val="single" w:sz="4" w:space="0" w:color="auto"/>
            </w:tcBorders>
            <w:shd w:val="clear" w:color="auto" w:fill="C00000"/>
            <w:tcMar>
              <w:top w:w="17" w:type="dxa"/>
              <w:left w:w="17" w:type="dxa"/>
              <w:bottom w:w="0" w:type="dxa"/>
              <w:right w:w="17" w:type="dxa"/>
            </w:tcMar>
            <w:vAlign w:val="center"/>
            <w:hideMark/>
          </w:tcPr>
          <w:p w:rsidR="00642250" w:rsidRPr="00883E07" w:rsidRDefault="00642250" w:rsidP="00DB43D6">
            <w:pPr>
              <w:autoSpaceDE w:val="0"/>
              <w:autoSpaceDN w:val="0"/>
              <w:adjustRightInd w:val="0"/>
              <w:jc w:val="center"/>
              <w:rPr>
                <w:rFonts w:asciiTheme="majorHAnsi" w:hAnsiTheme="majorHAnsi" w:cs="Arial"/>
                <w:b/>
                <w:sz w:val="18"/>
                <w:szCs w:val="18"/>
              </w:rPr>
            </w:pPr>
            <w:r w:rsidRPr="00883E07">
              <w:rPr>
                <w:rFonts w:asciiTheme="majorHAnsi" w:hAnsiTheme="majorHAnsi" w:cs="Arial"/>
                <w:b/>
                <w:bCs/>
                <w:sz w:val="18"/>
                <w:szCs w:val="18"/>
              </w:rPr>
              <w:t>Descripción</w:t>
            </w:r>
          </w:p>
        </w:tc>
        <w:tc>
          <w:tcPr>
            <w:tcW w:w="992" w:type="dxa"/>
            <w:tcBorders>
              <w:top w:val="nil"/>
              <w:left w:val="nil"/>
              <w:bottom w:val="nil"/>
              <w:right w:val="single" w:sz="4" w:space="0" w:color="auto"/>
            </w:tcBorders>
            <w:shd w:val="clear" w:color="auto" w:fill="C00000"/>
            <w:vAlign w:val="center"/>
          </w:tcPr>
          <w:p w:rsidR="00642250" w:rsidRPr="00883E07" w:rsidRDefault="00642250" w:rsidP="00DB43D6">
            <w:pPr>
              <w:autoSpaceDE w:val="0"/>
              <w:autoSpaceDN w:val="0"/>
              <w:adjustRightInd w:val="0"/>
              <w:jc w:val="center"/>
              <w:rPr>
                <w:rFonts w:asciiTheme="majorHAnsi" w:hAnsiTheme="majorHAnsi" w:cs="Arial"/>
                <w:b/>
                <w:sz w:val="18"/>
                <w:szCs w:val="18"/>
              </w:rPr>
            </w:pPr>
            <w:r w:rsidRPr="00883E07">
              <w:rPr>
                <w:rFonts w:asciiTheme="majorHAnsi" w:hAnsiTheme="majorHAnsi" w:cs="Arial"/>
                <w:b/>
                <w:sz w:val="18"/>
                <w:szCs w:val="18"/>
              </w:rPr>
              <w:t>S/.</w:t>
            </w:r>
          </w:p>
        </w:tc>
        <w:tc>
          <w:tcPr>
            <w:tcW w:w="709" w:type="dxa"/>
            <w:tcBorders>
              <w:top w:val="nil"/>
              <w:left w:val="nil"/>
              <w:bottom w:val="nil"/>
              <w:right w:val="single" w:sz="4" w:space="0" w:color="auto"/>
            </w:tcBorders>
            <w:shd w:val="clear" w:color="auto" w:fill="C00000"/>
            <w:vAlign w:val="center"/>
          </w:tcPr>
          <w:p w:rsidR="00642250" w:rsidRPr="00883E07" w:rsidRDefault="00642250" w:rsidP="00DB43D6">
            <w:pPr>
              <w:autoSpaceDE w:val="0"/>
              <w:autoSpaceDN w:val="0"/>
              <w:adjustRightInd w:val="0"/>
              <w:jc w:val="center"/>
              <w:rPr>
                <w:rFonts w:asciiTheme="majorHAnsi" w:hAnsiTheme="majorHAnsi" w:cs="Arial"/>
                <w:b/>
                <w:sz w:val="18"/>
                <w:szCs w:val="18"/>
              </w:rPr>
            </w:pPr>
            <w:r w:rsidRPr="00883E07">
              <w:rPr>
                <w:rFonts w:asciiTheme="majorHAnsi" w:hAnsiTheme="majorHAnsi" w:cs="Arial"/>
                <w:b/>
                <w:sz w:val="18"/>
                <w:szCs w:val="18"/>
              </w:rPr>
              <w:t>%</w:t>
            </w:r>
          </w:p>
        </w:tc>
      </w:tr>
      <w:tr w:rsidR="00642250" w:rsidRPr="00883E07" w:rsidTr="00DB43D6">
        <w:trPr>
          <w:trHeight w:val="274"/>
        </w:trPr>
        <w:tc>
          <w:tcPr>
            <w:tcW w:w="1860"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rPr>
                <w:rFonts w:asciiTheme="majorHAnsi" w:hAnsiTheme="majorHAnsi" w:cs="Arial"/>
                <w:sz w:val="18"/>
                <w:szCs w:val="18"/>
              </w:rPr>
            </w:pPr>
            <w:r w:rsidRPr="00883E07">
              <w:rPr>
                <w:rFonts w:asciiTheme="majorHAnsi" w:hAnsiTheme="majorHAnsi" w:cs="Arial"/>
                <w:b/>
                <w:bCs/>
                <w:sz w:val="18"/>
                <w:szCs w:val="18"/>
              </w:rPr>
              <w:t xml:space="preserve">Educación </w:t>
            </w:r>
          </w:p>
        </w:tc>
        <w:tc>
          <w:tcPr>
            <w:tcW w:w="992"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jc w:val="both"/>
              <w:rPr>
                <w:rFonts w:asciiTheme="majorHAnsi" w:hAnsiTheme="majorHAnsi" w:cs="Arial"/>
                <w:sz w:val="18"/>
                <w:szCs w:val="18"/>
              </w:rPr>
            </w:pPr>
            <w:r w:rsidRPr="00883E07">
              <w:rPr>
                <w:rFonts w:asciiTheme="majorHAnsi" w:hAnsiTheme="majorHAnsi" w:cs="Arial"/>
                <w:b/>
                <w:bCs/>
                <w:sz w:val="18"/>
                <w:szCs w:val="18"/>
              </w:rPr>
              <w:t xml:space="preserve">  56,264.06 </w:t>
            </w:r>
          </w:p>
        </w:tc>
        <w:tc>
          <w:tcPr>
            <w:tcW w:w="709"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jc w:val="center"/>
              <w:rPr>
                <w:rFonts w:asciiTheme="majorHAnsi" w:hAnsiTheme="majorHAnsi" w:cs="Arial"/>
                <w:sz w:val="18"/>
                <w:szCs w:val="18"/>
              </w:rPr>
            </w:pPr>
            <w:r w:rsidRPr="00883E07">
              <w:rPr>
                <w:rFonts w:asciiTheme="majorHAnsi" w:hAnsiTheme="majorHAnsi" w:cs="Arial"/>
                <w:b/>
                <w:bCs/>
                <w:sz w:val="18"/>
                <w:szCs w:val="18"/>
              </w:rPr>
              <w:t>31%</w:t>
            </w:r>
          </w:p>
        </w:tc>
      </w:tr>
      <w:tr w:rsidR="00642250" w:rsidRPr="00883E07" w:rsidTr="00DB43D6">
        <w:trPr>
          <w:trHeight w:val="407"/>
        </w:trPr>
        <w:tc>
          <w:tcPr>
            <w:tcW w:w="1860"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rPr>
                <w:rFonts w:asciiTheme="majorHAnsi" w:hAnsiTheme="majorHAnsi" w:cs="Arial"/>
                <w:sz w:val="18"/>
                <w:szCs w:val="18"/>
              </w:rPr>
            </w:pPr>
            <w:r w:rsidRPr="00883E07">
              <w:rPr>
                <w:rFonts w:asciiTheme="majorHAnsi" w:hAnsiTheme="majorHAnsi" w:cs="Arial"/>
                <w:b/>
                <w:bCs/>
                <w:sz w:val="18"/>
                <w:szCs w:val="18"/>
              </w:rPr>
              <w:t>Infraestructura</w:t>
            </w:r>
          </w:p>
        </w:tc>
        <w:tc>
          <w:tcPr>
            <w:tcW w:w="992"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jc w:val="both"/>
              <w:rPr>
                <w:rFonts w:asciiTheme="majorHAnsi" w:hAnsiTheme="majorHAnsi" w:cs="Arial"/>
                <w:sz w:val="18"/>
                <w:szCs w:val="18"/>
              </w:rPr>
            </w:pPr>
            <w:r w:rsidRPr="00883E07">
              <w:rPr>
                <w:rFonts w:asciiTheme="majorHAnsi" w:hAnsiTheme="majorHAnsi" w:cs="Arial"/>
                <w:b/>
                <w:bCs/>
                <w:sz w:val="18"/>
                <w:szCs w:val="18"/>
              </w:rPr>
              <w:t xml:space="preserve">  45,715.41 </w:t>
            </w:r>
          </w:p>
        </w:tc>
        <w:tc>
          <w:tcPr>
            <w:tcW w:w="709"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jc w:val="center"/>
              <w:rPr>
                <w:rFonts w:asciiTheme="majorHAnsi" w:hAnsiTheme="majorHAnsi" w:cs="Arial"/>
                <w:sz w:val="18"/>
                <w:szCs w:val="18"/>
              </w:rPr>
            </w:pPr>
            <w:r w:rsidRPr="00883E07">
              <w:rPr>
                <w:rFonts w:asciiTheme="majorHAnsi" w:hAnsiTheme="majorHAnsi" w:cs="Arial"/>
                <w:b/>
                <w:bCs/>
                <w:sz w:val="18"/>
                <w:szCs w:val="18"/>
              </w:rPr>
              <w:t>30%</w:t>
            </w:r>
          </w:p>
        </w:tc>
      </w:tr>
      <w:tr w:rsidR="00642250" w:rsidRPr="00883E07" w:rsidTr="00DB43D6">
        <w:trPr>
          <w:trHeight w:val="413"/>
        </w:trPr>
        <w:tc>
          <w:tcPr>
            <w:tcW w:w="1860"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rPr>
                <w:rFonts w:asciiTheme="majorHAnsi" w:hAnsiTheme="majorHAnsi" w:cs="Arial"/>
                <w:sz w:val="18"/>
                <w:szCs w:val="18"/>
              </w:rPr>
            </w:pPr>
            <w:r w:rsidRPr="00883E07">
              <w:rPr>
                <w:rFonts w:asciiTheme="majorHAnsi" w:hAnsiTheme="majorHAnsi" w:cs="Arial"/>
                <w:b/>
                <w:bCs/>
                <w:sz w:val="18"/>
                <w:szCs w:val="18"/>
              </w:rPr>
              <w:t>Salud</w:t>
            </w:r>
          </w:p>
        </w:tc>
        <w:tc>
          <w:tcPr>
            <w:tcW w:w="992"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jc w:val="both"/>
              <w:rPr>
                <w:rFonts w:asciiTheme="majorHAnsi" w:hAnsiTheme="majorHAnsi" w:cs="Arial"/>
                <w:sz w:val="18"/>
                <w:szCs w:val="18"/>
              </w:rPr>
            </w:pPr>
            <w:r w:rsidRPr="00883E07">
              <w:rPr>
                <w:rFonts w:asciiTheme="majorHAnsi" w:hAnsiTheme="majorHAnsi" w:cs="Arial"/>
                <w:b/>
                <w:bCs/>
                <w:sz w:val="18"/>
                <w:szCs w:val="18"/>
              </w:rPr>
              <w:t xml:space="preserve">  79,747.42 </w:t>
            </w:r>
          </w:p>
        </w:tc>
        <w:tc>
          <w:tcPr>
            <w:tcW w:w="709"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jc w:val="center"/>
              <w:rPr>
                <w:rFonts w:asciiTheme="majorHAnsi" w:hAnsiTheme="majorHAnsi" w:cs="Arial"/>
                <w:sz w:val="18"/>
                <w:szCs w:val="18"/>
              </w:rPr>
            </w:pPr>
            <w:r w:rsidRPr="00883E07">
              <w:rPr>
                <w:rFonts w:asciiTheme="majorHAnsi" w:hAnsiTheme="majorHAnsi" w:cs="Arial"/>
                <w:b/>
                <w:bCs/>
                <w:sz w:val="18"/>
                <w:szCs w:val="18"/>
              </w:rPr>
              <w:t>22%</w:t>
            </w:r>
          </w:p>
        </w:tc>
      </w:tr>
      <w:tr w:rsidR="00642250" w:rsidRPr="00883E07" w:rsidTr="00642250">
        <w:trPr>
          <w:trHeight w:val="82"/>
        </w:trPr>
        <w:tc>
          <w:tcPr>
            <w:tcW w:w="1860"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rPr>
                <w:rFonts w:asciiTheme="majorHAnsi" w:hAnsiTheme="majorHAnsi" w:cs="Arial"/>
                <w:sz w:val="18"/>
                <w:szCs w:val="18"/>
              </w:rPr>
            </w:pPr>
            <w:r w:rsidRPr="00883E07">
              <w:rPr>
                <w:rFonts w:asciiTheme="majorHAnsi" w:hAnsiTheme="majorHAnsi" w:cs="Arial"/>
                <w:b/>
                <w:bCs/>
                <w:sz w:val="18"/>
                <w:szCs w:val="18"/>
              </w:rPr>
              <w:t>Generación de ingresos</w:t>
            </w:r>
          </w:p>
        </w:tc>
        <w:tc>
          <w:tcPr>
            <w:tcW w:w="992"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jc w:val="both"/>
              <w:rPr>
                <w:rFonts w:asciiTheme="majorHAnsi" w:hAnsiTheme="majorHAnsi" w:cs="Arial"/>
                <w:sz w:val="18"/>
                <w:szCs w:val="18"/>
              </w:rPr>
            </w:pPr>
            <w:r w:rsidRPr="00883E07">
              <w:rPr>
                <w:rFonts w:asciiTheme="majorHAnsi" w:hAnsiTheme="majorHAnsi" w:cs="Arial"/>
                <w:b/>
                <w:bCs/>
                <w:sz w:val="18"/>
                <w:szCs w:val="18"/>
              </w:rPr>
              <w:t xml:space="preserve">  40,854.75 </w:t>
            </w:r>
          </w:p>
        </w:tc>
        <w:tc>
          <w:tcPr>
            <w:tcW w:w="709" w:type="dxa"/>
            <w:tcBorders>
              <w:top w:val="nil"/>
              <w:left w:val="nil"/>
              <w:bottom w:val="nil"/>
              <w:right w:val="nil"/>
            </w:tcBorders>
            <w:shd w:val="clear" w:color="auto" w:fill="auto"/>
            <w:tcMar>
              <w:top w:w="17" w:type="dxa"/>
              <w:left w:w="17" w:type="dxa"/>
              <w:bottom w:w="0" w:type="dxa"/>
              <w:right w:w="17" w:type="dxa"/>
            </w:tcMar>
            <w:vAlign w:val="center"/>
            <w:hideMark/>
          </w:tcPr>
          <w:p w:rsidR="00642250" w:rsidRPr="00883E07" w:rsidRDefault="00642250" w:rsidP="00DB43D6">
            <w:pPr>
              <w:autoSpaceDE w:val="0"/>
              <w:autoSpaceDN w:val="0"/>
              <w:adjustRightInd w:val="0"/>
              <w:jc w:val="center"/>
              <w:rPr>
                <w:rFonts w:asciiTheme="majorHAnsi" w:hAnsiTheme="majorHAnsi" w:cs="Arial"/>
                <w:sz w:val="18"/>
                <w:szCs w:val="18"/>
              </w:rPr>
            </w:pPr>
            <w:r w:rsidRPr="00883E07">
              <w:rPr>
                <w:rFonts w:asciiTheme="majorHAnsi" w:hAnsiTheme="majorHAnsi" w:cs="Arial"/>
                <w:b/>
                <w:bCs/>
                <w:sz w:val="18"/>
                <w:szCs w:val="18"/>
              </w:rPr>
              <w:t>17%</w:t>
            </w:r>
          </w:p>
        </w:tc>
      </w:tr>
      <w:tr w:rsidR="00642250" w:rsidRPr="00883E07" w:rsidTr="00DB43D6">
        <w:trPr>
          <w:trHeight w:val="70"/>
        </w:trPr>
        <w:tc>
          <w:tcPr>
            <w:tcW w:w="1860" w:type="dxa"/>
            <w:tcBorders>
              <w:top w:val="nil"/>
              <w:left w:val="nil"/>
              <w:bottom w:val="nil"/>
              <w:right w:val="nil"/>
            </w:tcBorders>
            <w:shd w:val="clear" w:color="auto" w:fill="C00000"/>
            <w:tcMar>
              <w:top w:w="17" w:type="dxa"/>
              <w:left w:w="17" w:type="dxa"/>
              <w:bottom w:w="0" w:type="dxa"/>
              <w:right w:w="17" w:type="dxa"/>
            </w:tcMar>
            <w:vAlign w:val="center"/>
            <w:hideMark/>
          </w:tcPr>
          <w:p w:rsidR="00642250" w:rsidRPr="00883E07" w:rsidRDefault="00642250" w:rsidP="00DB43D6">
            <w:pPr>
              <w:autoSpaceDE w:val="0"/>
              <w:autoSpaceDN w:val="0"/>
              <w:adjustRightInd w:val="0"/>
              <w:jc w:val="center"/>
              <w:rPr>
                <w:rFonts w:asciiTheme="majorHAnsi" w:hAnsiTheme="majorHAnsi" w:cs="Arial"/>
                <w:sz w:val="18"/>
                <w:szCs w:val="18"/>
              </w:rPr>
            </w:pPr>
            <w:r w:rsidRPr="00883E07">
              <w:rPr>
                <w:rFonts w:asciiTheme="majorHAnsi" w:hAnsiTheme="majorHAnsi" w:cs="Arial"/>
                <w:b/>
                <w:bCs/>
                <w:sz w:val="18"/>
                <w:szCs w:val="18"/>
              </w:rPr>
              <w:t>Total</w:t>
            </w:r>
          </w:p>
        </w:tc>
        <w:tc>
          <w:tcPr>
            <w:tcW w:w="992" w:type="dxa"/>
            <w:tcBorders>
              <w:top w:val="nil"/>
              <w:left w:val="nil"/>
              <w:bottom w:val="nil"/>
              <w:right w:val="nil"/>
            </w:tcBorders>
            <w:shd w:val="clear" w:color="auto" w:fill="C00000"/>
            <w:tcMar>
              <w:top w:w="17" w:type="dxa"/>
              <w:left w:w="17" w:type="dxa"/>
              <w:bottom w:w="0" w:type="dxa"/>
              <w:right w:w="17" w:type="dxa"/>
            </w:tcMar>
            <w:vAlign w:val="center"/>
            <w:hideMark/>
          </w:tcPr>
          <w:p w:rsidR="00642250" w:rsidRPr="00883E07" w:rsidRDefault="00642250" w:rsidP="00DB43D6">
            <w:pPr>
              <w:autoSpaceDE w:val="0"/>
              <w:autoSpaceDN w:val="0"/>
              <w:adjustRightInd w:val="0"/>
              <w:jc w:val="center"/>
              <w:rPr>
                <w:rFonts w:asciiTheme="majorHAnsi" w:hAnsiTheme="majorHAnsi" w:cs="Arial"/>
                <w:sz w:val="18"/>
                <w:szCs w:val="18"/>
              </w:rPr>
            </w:pPr>
            <w:r w:rsidRPr="00883E07">
              <w:rPr>
                <w:rFonts w:asciiTheme="majorHAnsi" w:hAnsiTheme="majorHAnsi" w:cs="Arial"/>
                <w:b/>
                <w:bCs/>
                <w:sz w:val="18"/>
                <w:szCs w:val="18"/>
              </w:rPr>
              <w:t>822,581.64</w:t>
            </w:r>
          </w:p>
        </w:tc>
        <w:tc>
          <w:tcPr>
            <w:tcW w:w="709" w:type="dxa"/>
            <w:tcBorders>
              <w:top w:val="nil"/>
              <w:left w:val="nil"/>
              <w:bottom w:val="nil"/>
              <w:right w:val="nil"/>
            </w:tcBorders>
            <w:shd w:val="clear" w:color="auto" w:fill="C00000"/>
            <w:tcMar>
              <w:top w:w="17" w:type="dxa"/>
              <w:left w:w="17" w:type="dxa"/>
              <w:bottom w:w="0" w:type="dxa"/>
              <w:right w:w="17" w:type="dxa"/>
            </w:tcMar>
            <w:vAlign w:val="center"/>
            <w:hideMark/>
          </w:tcPr>
          <w:p w:rsidR="00642250" w:rsidRPr="00883E07" w:rsidRDefault="00642250" w:rsidP="00DB43D6">
            <w:pPr>
              <w:autoSpaceDE w:val="0"/>
              <w:autoSpaceDN w:val="0"/>
              <w:adjustRightInd w:val="0"/>
              <w:jc w:val="center"/>
              <w:rPr>
                <w:rFonts w:asciiTheme="majorHAnsi" w:hAnsiTheme="majorHAnsi" w:cs="Arial"/>
                <w:sz w:val="18"/>
                <w:szCs w:val="18"/>
              </w:rPr>
            </w:pPr>
            <w:r w:rsidRPr="00883E07">
              <w:rPr>
                <w:rFonts w:asciiTheme="majorHAnsi" w:hAnsiTheme="majorHAnsi" w:cs="Arial"/>
                <w:b/>
                <w:bCs/>
                <w:sz w:val="18"/>
                <w:szCs w:val="18"/>
              </w:rPr>
              <w:t>100%</w:t>
            </w:r>
          </w:p>
        </w:tc>
      </w:tr>
    </w:tbl>
    <w:p w:rsidR="00642250" w:rsidRPr="00883E07" w:rsidRDefault="00642250" w:rsidP="00642250">
      <w:pPr>
        <w:autoSpaceDE w:val="0"/>
        <w:autoSpaceDN w:val="0"/>
        <w:adjustRightInd w:val="0"/>
        <w:spacing w:line="288" w:lineRule="auto"/>
        <w:jc w:val="both"/>
        <w:rPr>
          <w:rFonts w:asciiTheme="majorHAnsi" w:hAnsiTheme="majorHAnsi" w:cs="Arial"/>
          <w:sz w:val="22"/>
          <w:szCs w:val="22"/>
        </w:rPr>
      </w:pPr>
    </w:p>
    <w:p w:rsidR="00642250" w:rsidRPr="00883E07" w:rsidRDefault="00642250" w:rsidP="00642250">
      <w:pPr>
        <w:autoSpaceDE w:val="0"/>
        <w:autoSpaceDN w:val="0"/>
        <w:adjustRightInd w:val="0"/>
        <w:spacing w:line="288" w:lineRule="auto"/>
        <w:jc w:val="both"/>
        <w:rPr>
          <w:rFonts w:asciiTheme="majorHAnsi" w:hAnsiTheme="majorHAnsi" w:cs="Arial"/>
          <w:sz w:val="16"/>
          <w:szCs w:val="22"/>
        </w:rPr>
      </w:pPr>
      <w:r w:rsidRPr="00883E07">
        <w:rPr>
          <w:rFonts w:asciiTheme="majorHAnsi" w:hAnsiTheme="majorHAnsi" w:cs="Arial"/>
          <w:sz w:val="16"/>
          <w:szCs w:val="22"/>
        </w:rPr>
        <w:t>Fuente: PRODUCE</w:t>
      </w:r>
    </w:p>
    <w:p w:rsidR="000E719D" w:rsidRPr="00883E07" w:rsidRDefault="000E719D" w:rsidP="000E719D">
      <w:pPr>
        <w:spacing w:before="240" w:after="240"/>
        <w:jc w:val="both"/>
        <w:rPr>
          <w:rFonts w:asciiTheme="majorHAnsi" w:hAnsiTheme="majorHAnsi" w:cs="Arial"/>
          <w:sz w:val="22"/>
          <w:szCs w:val="22"/>
        </w:rPr>
      </w:pPr>
      <w:r w:rsidRPr="00883E07">
        <w:rPr>
          <w:rFonts w:asciiTheme="majorHAnsi" w:hAnsiTheme="majorHAnsi" w:cs="Arial"/>
          <w:sz w:val="22"/>
          <w:szCs w:val="22"/>
          <w:lang w:val="es-ES_tradnl"/>
        </w:rPr>
        <w:t>E</w:t>
      </w:r>
      <w:r w:rsidRPr="00883E07">
        <w:rPr>
          <w:rFonts w:asciiTheme="majorHAnsi" w:hAnsiTheme="majorHAnsi" w:cs="Arial"/>
          <w:sz w:val="22"/>
          <w:szCs w:val="22"/>
        </w:rPr>
        <w:t xml:space="preserve">n el Perú </w:t>
      </w:r>
      <w:r w:rsidR="0085392E" w:rsidRPr="00883E07">
        <w:rPr>
          <w:rFonts w:asciiTheme="majorHAnsi" w:hAnsiTheme="majorHAnsi" w:cs="Arial"/>
          <w:sz w:val="22"/>
          <w:szCs w:val="22"/>
        </w:rPr>
        <w:t xml:space="preserve">en </w:t>
      </w:r>
      <w:r w:rsidRPr="00883E07">
        <w:rPr>
          <w:rFonts w:asciiTheme="majorHAnsi" w:hAnsiTheme="majorHAnsi" w:cs="Arial"/>
          <w:sz w:val="22"/>
          <w:szCs w:val="22"/>
        </w:rPr>
        <w:t xml:space="preserve">2011 se </w:t>
      </w:r>
      <w:r w:rsidR="0085392E" w:rsidRPr="00883E07">
        <w:rPr>
          <w:rFonts w:asciiTheme="majorHAnsi" w:hAnsiTheme="majorHAnsi" w:cs="Arial"/>
          <w:sz w:val="22"/>
          <w:szCs w:val="22"/>
        </w:rPr>
        <w:t xml:space="preserve">registraron </w:t>
      </w:r>
      <w:r w:rsidRPr="00883E07">
        <w:rPr>
          <w:rFonts w:asciiTheme="majorHAnsi" w:hAnsiTheme="majorHAnsi" w:cs="Arial"/>
          <w:sz w:val="22"/>
          <w:szCs w:val="22"/>
        </w:rPr>
        <w:t xml:space="preserve">un total de </w:t>
      </w:r>
      <w:r w:rsidR="00ED7955" w:rsidRPr="00883E07">
        <w:rPr>
          <w:rFonts w:asciiTheme="majorHAnsi" w:hAnsiTheme="majorHAnsi" w:cs="Arial"/>
          <w:sz w:val="22"/>
          <w:szCs w:val="22"/>
        </w:rPr>
        <w:t xml:space="preserve">3,862 </w:t>
      </w:r>
      <w:r w:rsidRPr="00883E07">
        <w:rPr>
          <w:rFonts w:asciiTheme="majorHAnsi" w:hAnsiTheme="majorHAnsi" w:cs="Arial"/>
          <w:sz w:val="22"/>
          <w:szCs w:val="22"/>
        </w:rPr>
        <w:t>derechos otorgados (entre concesiones y autorizaciones) con un área de 29,878.37 hectáreas para el desarrollo de la acuicultura</w:t>
      </w:r>
      <w:r w:rsidRPr="00883E07">
        <w:rPr>
          <w:rFonts w:asciiTheme="majorHAnsi" w:hAnsiTheme="majorHAnsi" w:cs="Arial"/>
          <w:sz w:val="22"/>
          <w:szCs w:val="22"/>
          <w:vertAlign w:val="superscript"/>
        </w:rPr>
        <w:footnoteReference w:id="3"/>
      </w:r>
      <w:r w:rsidRPr="00883E07">
        <w:rPr>
          <w:rFonts w:asciiTheme="majorHAnsi" w:hAnsiTheme="majorHAnsi" w:cs="Arial"/>
          <w:sz w:val="22"/>
          <w:szCs w:val="22"/>
        </w:rPr>
        <w:t xml:space="preserve"> y de los cuales, </w:t>
      </w:r>
      <w:r w:rsidR="0085392E" w:rsidRPr="00883E07">
        <w:rPr>
          <w:rFonts w:asciiTheme="majorHAnsi" w:hAnsiTheme="majorHAnsi" w:cs="Arial"/>
          <w:sz w:val="22"/>
          <w:szCs w:val="22"/>
        </w:rPr>
        <w:t xml:space="preserve">134 </w:t>
      </w:r>
      <w:r w:rsidRPr="00883E07">
        <w:rPr>
          <w:rFonts w:asciiTheme="majorHAnsi" w:hAnsiTheme="majorHAnsi" w:cs="Arial"/>
          <w:sz w:val="22"/>
          <w:szCs w:val="22"/>
        </w:rPr>
        <w:t>son empresas de mayor escala o industriales; 1,</w:t>
      </w:r>
      <w:r w:rsidR="00ED7955" w:rsidRPr="00883E07">
        <w:rPr>
          <w:rFonts w:asciiTheme="majorHAnsi" w:hAnsiTheme="majorHAnsi" w:cs="Arial"/>
          <w:sz w:val="22"/>
          <w:szCs w:val="22"/>
        </w:rPr>
        <w:t>67</w:t>
      </w:r>
      <w:r w:rsidR="00F1475C" w:rsidRPr="00883E07">
        <w:rPr>
          <w:rFonts w:asciiTheme="majorHAnsi" w:hAnsiTheme="majorHAnsi" w:cs="Arial"/>
          <w:sz w:val="22"/>
          <w:szCs w:val="22"/>
        </w:rPr>
        <w:t>4</w:t>
      </w:r>
      <w:r w:rsidRPr="00883E07">
        <w:rPr>
          <w:rFonts w:asciiTheme="majorHAnsi" w:hAnsiTheme="majorHAnsi" w:cs="Arial"/>
          <w:sz w:val="22"/>
          <w:szCs w:val="22"/>
        </w:rPr>
        <w:t xml:space="preserve"> corresponden a usuarios que desarrollan la actividad a niveles de menor escala o de pequeñas y mediana empresa</w:t>
      </w:r>
      <w:r w:rsidRPr="00883E07">
        <w:rPr>
          <w:rFonts w:asciiTheme="majorHAnsi" w:hAnsiTheme="majorHAnsi" w:cs="Arial"/>
          <w:sz w:val="22"/>
          <w:szCs w:val="22"/>
          <w:vertAlign w:val="superscript"/>
        </w:rPr>
        <w:footnoteReference w:id="4"/>
      </w:r>
      <w:r w:rsidRPr="00883E07">
        <w:rPr>
          <w:rFonts w:asciiTheme="majorHAnsi" w:hAnsiTheme="majorHAnsi" w:cs="Arial"/>
          <w:sz w:val="22"/>
          <w:szCs w:val="22"/>
        </w:rPr>
        <w:t>; 1,</w:t>
      </w:r>
      <w:r w:rsidR="00ED7955" w:rsidRPr="00883E07">
        <w:rPr>
          <w:rFonts w:asciiTheme="majorHAnsi" w:hAnsiTheme="majorHAnsi" w:cs="Arial"/>
          <w:sz w:val="22"/>
          <w:szCs w:val="22"/>
        </w:rPr>
        <w:t>825</w:t>
      </w:r>
      <w:r w:rsidRPr="00883E07">
        <w:rPr>
          <w:rFonts w:asciiTheme="majorHAnsi" w:hAnsiTheme="majorHAnsi" w:cs="Arial"/>
          <w:sz w:val="22"/>
          <w:szCs w:val="22"/>
        </w:rPr>
        <w:t xml:space="preserve"> usuarios desarrollan la actividad a nivel de subsistencia, los cuales emplean la acuicultura como medio que contribuye con su propia seguridad alimentaria, cabe indicar que existen también 229 derechos otorgados a asociaciones de pescadores artesanales, comunidades campesinas y nativas las cuales desarrollan actividades de repoblamiento. Asimismo, se ha estimado que la acuicultura ha generado </w:t>
      </w:r>
      <w:r w:rsidR="0085392E" w:rsidRPr="00883E07">
        <w:rPr>
          <w:rFonts w:asciiTheme="majorHAnsi" w:hAnsiTheme="majorHAnsi" w:cs="Arial"/>
          <w:sz w:val="22"/>
          <w:szCs w:val="22"/>
        </w:rPr>
        <w:t xml:space="preserve">en </w:t>
      </w:r>
      <w:r w:rsidRPr="00883E07">
        <w:rPr>
          <w:rFonts w:asciiTheme="majorHAnsi" w:hAnsiTheme="majorHAnsi" w:cs="Arial"/>
          <w:sz w:val="22"/>
          <w:szCs w:val="22"/>
        </w:rPr>
        <w:t>2011 unos 23,827 empleos directos y 57,360 empleos indirectos sumando un total de 81,187 empleos y teniendo en cuenta que cada trabajador podría tener a su cargo un promedio de tres (03) dependientes, tenemos que la acuicultura viene garantizando los medios de subsistencia para 324,748 personas lo cual representa el 1.09% de la población peruana</w:t>
      </w:r>
      <w:r w:rsidRPr="00883E07">
        <w:rPr>
          <w:rFonts w:asciiTheme="majorHAnsi" w:hAnsiTheme="majorHAnsi" w:cs="Arial"/>
          <w:sz w:val="22"/>
          <w:vertAlign w:val="superscript"/>
        </w:rPr>
        <w:footnoteReference w:id="5"/>
      </w:r>
      <w:r w:rsidRPr="00883E07">
        <w:rPr>
          <w:rFonts w:asciiTheme="majorHAnsi" w:hAnsiTheme="majorHAnsi" w:cs="Arial"/>
          <w:sz w:val="22"/>
          <w:szCs w:val="22"/>
        </w:rPr>
        <w:t>.</w:t>
      </w:r>
    </w:p>
    <w:p w:rsidR="00045098" w:rsidRPr="00883E07" w:rsidRDefault="000E719D" w:rsidP="00045098">
      <w:pPr>
        <w:autoSpaceDE w:val="0"/>
        <w:autoSpaceDN w:val="0"/>
        <w:adjustRightInd w:val="0"/>
        <w:rPr>
          <w:rFonts w:asciiTheme="majorHAnsi" w:hAnsiTheme="majorHAnsi" w:cs="Arial"/>
          <w:b/>
          <w:sz w:val="22"/>
          <w:u w:val="single"/>
        </w:rPr>
      </w:pPr>
      <w:r w:rsidRPr="00883E07">
        <w:rPr>
          <w:rFonts w:asciiTheme="majorHAnsi" w:hAnsiTheme="majorHAnsi" w:cs="Arial"/>
          <w:b/>
          <w:sz w:val="22"/>
          <w:u w:val="single"/>
        </w:rPr>
        <w:t>Aspectos relativos a la clasificación de la acuicultura</w:t>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Si analizamos con detenimiento la producción acuícola del año 2011(92 201 t), en el que  se  registró  el  mayor  índice  de  exportaciones de productos acuícolas (28 739 t) en la historia del país, podemos observar que la actividad de repoblamiento</w:t>
      </w:r>
      <w:r w:rsidRPr="00883E07">
        <w:rPr>
          <w:rFonts w:asciiTheme="majorHAnsi" w:hAnsiTheme="majorHAnsi" w:cs="Arial"/>
          <w:sz w:val="22"/>
          <w:szCs w:val="22"/>
          <w:vertAlign w:val="superscript"/>
        </w:rPr>
        <w:footnoteReference w:id="6"/>
      </w:r>
      <w:r w:rsidRPr="00883E07">
        <w:rPr>
          <w:rFonts w:asciiTheme="majorHAnsi" w:hAnsiTheme="majorHAnsi" w:cs="Arial"/>
          <w:sz w:val="22"/>
          <w:szCs w:val="22"/>
        </w:rPr>
        <w:t xml:space="preserve"> en concha de abanico alcanzó las 38 009,32 toneladas de producción con fines comerciales, superando por casi tres veces a la producción acuícola proveniente de la acuicultura de mayor escala </w:t>
      </w:r>
      <w:r w:rsidRPr="00883E07">
        <w:rPr>
          <w:rFonts w:asciiTheme="majorHAnsi" w:hAnsiTheme="majorHAnsi" w:cs="Arial"/>
          <w:sz w:val="22"/>
          <w:szCs w:val="22"/>
        </w:rPr>
        <w:lastRenderedPageBreak/>
        <w:t>(14 061,19). Cabe mencionar que las “áreas de repoblamiento” de concha de abanico son  cultivos de fondo, que se han formalizado a partir del 2009. Este análisis nos hace notar la necesidad de modificar la normativa actual proponiendo una reclasificación de la actividad acuícola tomando como indicador la valoración económica de la producción, proponiendo así tres categorías clasificatorias: 1) acuicultura de recursos limitados (AREL); 2) acuicultura de micro y pequeña empresa (AMYPE) y 3) acuicultura de mediana y gran empresa (AMYGE). Esto fortalecería el ordenamiento acuícola, la gestión empresarial y contribuiría a la formación de MYPES de acuicultura.</w:t>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Se debe señalar que en el año 2009, durante la sesión de la Comisión de Pesca Continental y Acuicultura para América Latina y el Caribe (COPESCAALC), se puso en marcha una iniciativa de trabajo para dar cuenta del estado de la actividad acuícola de los pequeños productores de la región, cuya actividad contribuye de forma importante a la seguridad alimentaria y al ingreso familiar, pero que por razones de limitación de recursos de índole diversa no logra su sostenibilidad ni su trascendencia a otros estadios de desarrollo.</w:t>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La Comisión, durante 2010 en un primer taller realizado en Asunción, Paraguay con el auspicio de la FAO, se acordaron dos definiciones operacionales para reconocer y caracterizar al grupo de interés; de esta forma, se reconocen dos tipos de pequeños productores acuícolas o niveles de actividad: i) la Acuicultura de Recursos Limitados (AREL), que corresponde a “la actividad que se practica sobre la base de autoempleo; sea de forma exclusiva o complementaria, en condiciones de carencia de uno o más recursos que impiden su auto-sostenibilidad productiva y la cobertura de la canasta básica familiar en la región que se desarrolle”; y, la Acuicultura de Micro y Pequeña Empresa (AMYPE), que corresponde a la “acuicultura practicada con orientación comercial, que genera empleo remunerado, tiene algún nivel de tecnificación y no supera los límites definidos para las MYPES de cada país”. En dicha reunión participaron los países de Argentina, Bolivia, Brasil, Chile, Colombia, Ecuador, Paraguay, Perú. Uruguay, la Organización del Sector Pesquero y Acuícola del Istmo Centroamericano (OSPESCA) y la Red de Acuicultura de las Américas (RAA).</w:t>
      </w:r>
      <w:r w:rsidRPr="00883E07">
        <w:rPr>
          <w:rFonts w:asciiTheme="majorHAnsi" w:hAnsiTheme="majorHAnsi" w:cs="Arial"/>
          <w:sz w:val="22"/>
          <w:szCs w:val="22"/>
          <w:vertAlign w:val="superscript"/>
        </w:rPr>
        <w:footnoteReference w:id="7"/>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Sobre dicha base, en la búsqueda de implementar dichas denominaciones en el Perú, innovando y armonizándolas con los actuales clasificaciones de mayor escala, menor escala y subsistencia y el cual contribuya con mejorar el ordenamiento acuícola así como el acceso de los acuicultores a los beneficios de las MYPES según la legislación vigente, se considera necesaria la implementación de la misma considerando en líneas generales como AMYPE a los acuicultores clasificados como de menor escala y repoblamiento de la especie concha de abanico (considerando que tiene una clara orientación comercial) y AREL a los acuicultores de subsistencia y repoblamiento en ambientes continentales (teniendo en cuenta la actividad que se practica sobre la base de autoempleo; sea de forma exclusiva o complementaria)</w:t>
      </w:r>
      <w:r w:rsidR="005C2717" w:rsidRPr="00883E07">
        <w:rPr>
          <w:rFonts w:asciiTheme="majorHAnsi" w:hAnsiTheme="majorHAnsi" w:cs="Arial"/>
          <w:sz w:val="22"/>
          <w:szCs w:val="22"/>
        </w:rPr>
        <w:t>.</w:t>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De igual, modo se considera que por los montos de ingresos y las tecnologías empleadas para cultivos </w:t>
      </w:r>
      <w:proofErr w:type="spellStart"/>
      <w:r w:rsidRPr="00883E07">
        <w:rPr>
          <w:rFonts w:asciiTheme="majorHAnsi" w:hAnsiTheme="majorHAnsi" w:cs="Arial"/>
          <w:sz w:val="22"/>
          <w:szCs w:val="22"/>
        </w:rPr>
        <w:t>semi</w:t>
      </w:r>
      <w:proofErr w:type="spellEnd"/>
      <w:r w:rsidRPr="00883E07">
        <w:rPr>
          <w:rFonts w:asciiTheme="majorHAnsi" w:hAnsiTheme="majorHAnsi" w:cs="Arial"/>
          <w:sz w:val="22"/>
          <w:szCs w:val="22"/>
        </w:rPr>
        <w:t xml:space="preserve"> intensivos e intensivos, la acuicultura de mayor escala se encontraría en el rubro de Mediana y Gran Empresa, por lo que su clasificación puede denominarse Acuicultura de Mediana y Gran Empresa (AMYGE).</w:t>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Asimismo, la clasificación de repoblamiento, de acuerdo a sus conceptos internacionales, debe estar enfocada solo a aquella actividad que se desarrollan con fines de conservación de las poblaciones naturales de especies hidrobiológicas mas no comerciales por lo que podrán ser realizada por personas naturales o jurídicas, sean éstas públicas o privadas, sin </w:t>
      </w:r>
      <w:r w:rsidRPr="00883E07">
        <w:rPr>
          <w:rFonts w:asciiTheme="majorHAnsi" w:hAnsiTheme="majorHAnsi" w:cs="Arial"/>
          <w:sz w:val="22"/>
          <w:szCs w:val="22"/>
        </w:rPr>
        <w:lastRenderedPageBreak/>
        <w:t>derecho de exclusividad sobre el ambiente acuático ni sobre las especies sembradas. Dicha terminología permitirá orientar a las autorizaciones de repoblamiento de concha de abanico a convertirse en AMYPE.</w:t>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Por cuestiones prácticas para poder identificar la cantidad de usuarios según la nueva clasificación, se ha considerado que los acuicultores de subsistencia y repoblamiento en ámbitos continentales, por sus propias características según las definiciones se encontrarían en la categoría AREL, de igual modo los acuicultores de menor escala, concesiones especiales y repoblamiento con la especie concha de abanico, por su orientación con orientación comercial y niveles de desarrollo se encontrarían en la calificación de AMYPE, finalmente, la acuicultura de mayor escala por sus niveles tecnológicos y de desarrollo empresarial y su marcada orientación comercial se encontrarían en la calificación de AMYGE; sobre dicha base y la información oficial disponible al 2011 se presenta la siguiente información:</w:t>
      </w:r>
    </w:p>
    <w:p w:rsidR="00045098" w:rsidRPr="00883E07" w:rsidRDefault="00045098" w:rsidP="00045098">
      <w:pPr>
        <w:pStyle w:val="Default"/>
        <w:spacing w:before="100" w:after="100" w:line="288" w:lineRule="auto"/>
        <w:jc w:val="both"/>
        <w:rPr>
          <w:rFonts w:asciiTheme="majorHAnsi" w:hAnsiTheme="majorHAnsi" w:cs="Arial"/>
          <w:sz w:val="22"/>
          <w:szCs w:val="22"/>
        </w:rPr>
      </w:pPr>
      <w:r w:rsidRPr="00883E07">
        <w:rPr>
          <w:rFonts w:asciiTheme="majorHAnsi" w:hAnsiTheme="majorHAnsi" w:cs="Arial"/>
          <w:b/>
          <w:sz w:val="22"/>
          <w:szCs w:val="22"/>
        </w:rPr>
        <w:t>Tabla 0</w:t>
      </w:r>
      <w:r w:rsidR="00866050" w:rsidRPr="00883E07">
        <w:rPr>
          <w:rFonts w:asciiTheme="majorHAnsi" w:hAnsiTheme="majorHAnsi" w:cs="Arial"/>
          <w:b/>
          <w:sz w:val="22"/>
          <w:szCs w:val="22"/>
        </w:rPr>
        <w:t>6</w:t>
      </w:r>
      <w:r w:rsidRPr="00883E07">
        <w:rPr>
          <w:rFonts w:asciiTheme="majorHAnsi" w:hAnsiTheme="majorHAnsi" w:cs="Arial"/>
          <w:b/>
          <w:sz w:val="22"/>
          <w:szCs w:val="22"/>
        </w:rPr>
        <w:t>.</w:t>
      </w:r>
      <w:r w:rsidRPr="00883E07">
        <w:rPr>
          <w:rFonts w:asciiTheme="majorHAnsi" w:hAnsiTheme="majorHAnsi" w:cs="Arial"/>
          <w:sz w:val="22"/>
          <w:szCs w:val="22"/>
        </w:rPr>
        <w:t xml:space="preserve"> Determinación de acuicultura para la nueva clasificación acuícola</w:t>
      </w:r>
    </w:p>
    <w:tbl>
      <w:tblPr>
        <w:tblW w:w="6020" w:type="dxa"/>
        <w:jc w:val="center"/>
        <w:tblCellMar>
          <w:left w:w="70" w:type="dxa"/>
          <w:right w:w="70" w:type="dxa"/>
        </w:tblCellMar>
        <w:tblLook w:val="04A0" w:firstRow="1" w:lastRow="0" w:firstColumn="1" w:lastColumn="0" w:noHBand="0" w:noVBand="1"/>
      </w:tblPr>
      <w:tblGrid>
        <w:gridCol w:w="1568"/>
        <w:gridCol w:w="1560"/>
        <w:gridCol w:w="1414"/>
        <w:gridCol w:w="1478"/>
      </w:tblGrid>
      <w:tr w:rsidR="00045098" w:rsidRPr="00883E07" w:rsidTr="00224D13">
        <w:trPr>
          <w:trHeight w:val="600"/>
          <w:jc w:val="center"/>
        </w:trPr>
        <w:tc>
          <w:tcPr>
            <w:tcW w:w="1568"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045098" w:rsidRPr="00883E07" w:rsidRDefault="00045098" w:rsidP="00224D13">
            <w:pPr>
              <w:jc w:val="center"/>
              <w:rPr>
                <w:rFonts w:asciiTheme="majorHAnsi" w:hAnsiTheme="majorHAnsi"/>
                <w:b/>
                <w:bCs/>
                <w:color w:val="FFFFFF"/>
                <w:sz w:val="18"/>
                <w:lang w:eastAsia="es-PE"/>
              </w:rPr>
            </w:pPr>
            <w:r w:rsidRPr="00883E07">
              <w:rPr>
                <w:rFonts w:asciiTheme="majorHAnsi" w:hAnsiTheme="majorHAnsi"/>
                <w:b/>
                <w:bCs/>
                <w:color w:val="FFFFFF"/>
                <w:sz w:val="18"/>
                <w:lang w:eastAsia="es-PE"/>
              </w:rPr>
              <w:t>Tipo de actividad acuícola</w:t>
            </w:r>
          </w:p>
        </w:tc>
        <w:tc>
          <w:tcPr>
            <w:tcW w:w="1560" w:type="dxa"/>
            <w:tcBorders>
              <w:top w:val="single" w:sz="4" w:space="0" w:color="auto"/>
              <w:left w:val="nil"/>
              <w:bottom w:val="single" w:sz="4" w:space="0" w:color="auto"/>
              <w:right w:val="single" w:sz="4" w:space="0" w:color="auto"/>
            </w:tcBorders>
            <w:shd w:val="clear" w:color="000000" w:fill="C00000"/>
            <w:vAlign w:val="center"/>
            <w:hideMark/>
          </w:tcPr>
          <w:p w:rsidR="00045098" w:rsidRPr="00883E07" w:rsidRDefault="00045098" w:rsidP="00224D13">
            <w:pPr>
              <w:jc w:val="center"/>
              <w:rPr>
                <w:rFonts w:asciiTheme="majorHAnsi" w:hAnsiTheme="majorHAnsi"/>
                <w:b/>
                <w:bCs/>
                <w:color w:val="FFFFFF"/>
                <w:sz w:val="18"/>
                <w:lang w:eastAsia="es-PE"/>
              </w:rPr>
            </w:pPr>
            <w:r w:rsidRPr="00883E07">
              <w:rPr>
                <w:rFonts w:asciiTheme="majorHAnsi" w:hAnsiTheme="majorHAnsi"/>
                <w:b/>
                <w:bCs/>
                <w:color w:val="FFFFFF"/>
                <w:sz w:val="18"/>
                <w:lang w:eastAsia="es-PE"/>
              </w:rPr>
              <w:t>Unidades productivas / derechos otorgados</w:t>
            </w:r>
          </w:p>
        </w:tc>
        <w:tc>
          <w:tcPr>
            <w:tcW w:w="1414" w:type="dxa"/>
            <w:tcBorders>
              <w:top w:val="single" w:sz="4" w:space="0" w:color="auto"/>
              <w:left w:val="nil"/>
              <w:bottom w:val="single" w:sz="4" w:space="0" w:color="auto"/>
              <w:right w:val="single" w:sz="4" w:space="0" w:color="auto"/>
            </w:tcBorders>
            <w:shd w:val="clear" w:color="000000" w:fill="C00000"/>
            <w:vAlign w:val="center"/>
            <w:hideMark/>
          </w:tcPr>
          <w:p w:rsidR="00045098" w:rsidRPr="00883E07" w:rsidRDefault="00045098" w:rsidP="00224D13">
            <w:pPr>
              <w:jc w:val="center"/>
              <w:rPr>
                <w:rFonts w:asciiTheme="majorHAnsi" w:hAnsiTheme="majorHAnsi"/>
                <w:b/>
                <w:bCs/>
                <w:color w:val="FFFFFF"/>
                <w:sz w:val="18"/>
                <w:lang w:eastAsia="es-PE"/>
              </w:rPr>
            </w:pPr>
            <w:r w:rsidRPr="00883E07">
              <w:rPr>
                <w:rFonts w:asciiTheme="majorHAnsi" w:hAnsiTheme="majorHAnsi"/>
                <w:b/>
                <w:bCs/>
                <w:color w:val="FFFFFF"/>
                <w:sz w:val="18"/>
                <w:lang w:eastAsia="es-PE"/>
              </w:rPr>
              <w:t>Área (Has)</w:t>
            </w:r>
          </w:p>
        </w:tc>
        <w:tc>
          <w:tcPr>
            <w:tcW w:w="1478" w:type="dxa"/>
            <w:tcBorders>
              <w:top w:val="single" w:sz="4" w:space="0" w:color="auto"/>
              <w:left w:val="nil"/>
              <w:bottom w:val="single" w:sz="4" w:space="0" w:color="auto"/>
              <w:right w:val="single" w:sz="4" w:space="0" w:color="auto"/>
            </w:tcBorders>
            <w:shd w:val="clear" w:color="000000" w:fill="C00000"/>
            <w:vAlign w:val="center"/>
            <w:hideMark/>
          </w:tcPr>
          <w:p w:rsidR="00045098" w:rsidRPr="00883E07" w:rsidRDefault="00045098" w:rsidP="00224D13">
            <w:pPr>
              <w:jc w:val="center"/>
              <w:rPr>
                <w:rFonts w:asciiTheme="majorHAnsi" w:hAnsiTheme="majorHAnsi"/>
                <w:b/>
                <w:bCs/>
                <w:color w:val="FFFFFF"/>
                <w:sz w:val="18"/>
                <w:lang w:eastAsia="es-PE"/>
              </w:rPr>
            </w:pPr>
            <w:r w:rsidRPr="00883E07">
              <w:rPr>
                <w:rFonts w:asciiTheme="majorHAnsi" w:hAnsiTheme="majorHAnsi"/>
                <w:b/>
                <w:bCs/>
                <w:color w:val="FFFFFF"/>
                <w:sz w:val="18"/>
                <w:lang w:eastAsia="es-PE"/>
              </w:rPr>
              <w:t>Cosecha en toneladas</w:t>
            </w:r>
          </w:p>
        </w:tc>
      </w:tr>
      <w:tr w:rsidR="00045098" w:rsidRPr="00883E07" w:rsidTr="00224D13">
        <w:trPr>
          <w:trHeight w:val="148"/>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rsidR="00045098" w:rsidRPr="00883E07" w:rsidRDefault="00045098" w:rsidP="00224D13">
            <w:pPr>
              <w:rPr>
                <w:rFonts w:asciiTheme="majorHAnsi" w:hAnsiTheme="majorHAnsi"/>
                <w:b/>
                <w:bCs/>
                <w:color w:val="000000"/>
                <w:sz w:val="18"/>
                <w:lang w:eastAsia="es-PE"/>
              </w:rPr>
            </w:pPr>
            <w:r w:rsidRPr="00883E07">
              <w:rPr>
                <w:rFonts w:asciiTheme="majorHAnsi" w:hAnsiTheme="majorHAnsi"/>
                <w:b/>
                <w:bCs/>
                <w:color w:val="000000"/>
                <w:sz w:val="18"/>
                <w:lang w:eastAsia="es-PE"/>
              </w:rPr>
              <w:t>AREL</w:t>
            </w:r>
          </w:p>
        </w:tc>
        <w:tc>
          <w:tcPr>
            <w:tcW w:w="1560" w:type="dxa"/>
            <w:tcBorders>
              <w:top w:val="nil"/>
              <w:left w:val="nil"/>
              <w:bottom w:val="single" w:sz="4" w:space="0" w:color="auto"/>
              <w:right w:val="single" w:sz="4" w:space="0" w:color="auto"/>
            </w:tcBorders>
            <w:shd w:val="clear" w:color="auto" w:fill="auto"/>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1,773 </w:t>
            </w:r>
          </w:p>
        </w:tc>
        <w:tc>
          <w:tcPr>
            <w:tcW w:w="1414" w:type="dxa"/>
            <w:tcBorders>
              <w:top w:val="nil"/>
              <w:left w:val="nil"/>
              <w:bottom w:val="single" w:sz="4" w:space="0" w:color="auto"/>
              <w:right w:val="single" w:sz="4" w:space="0" w:color="auto"/>
            </w:tcBorders>
            <w:shd w:val="clear" w:color="auto" w:fill="auto"/>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 2,014.01 </w:t>
            </w:r>
          </w:p>
        </w:tc>
        <w:tc>
          <w:tcPr>
            <w:tcW w:w="1478" w:type="dxa"/>
            <w:tcBorders>
              <w:top w:val="nil"/>
              <w:left w:val="nil"/>
              <w:bottom w:val="single" w:sz="4" w:space="0" w:color="auto"/>
              <w:right w:val="single" w:sz="4" w:space="0" w:color="auto"/>
            </w:tcBorders>
            <w:shd w:val="clear" w:color="auto" w:fill="auto"/>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 397.22 </w:t>
            </w:r>
          </w:p>
        </w:tc>
      </w:tr>
      <w:tr w:rsidR="00045098" w:rsidRPr="00883E07" w:rsidTr="00224D13">
        <w:trPr>
          <w:trHeight w:val="222"/>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rsidR="00045098" w:rsidRPr="00883E07" w:rsidRDefault="00045098" w:rsidP="00224D13">
            <w:pPr>
              <w:rPr>
                <w:rFonts w:asciiTheme="majorHAnsi" w:hAnsiTheme="majorHAnsi"/>
                <w:b/>
                <w:bCs/>
                <w:color w:val="000000"/>
                <w:sz w:val="18"/>
                <w:lang w:eastAsia="es-PE"/>
              </w:rPr>
            </w:pPr>
            <w:r w:rsidRPr="00883E07">
              <w:rPr>
                <w:rFonts w:asciiTheme="majorHAnsi" w:hAnsiTheme="majorHAnsi"/>
                <w:b/>
                <w:bCs/>
                <w:color w:val="000000"/>
                <w:sz w:val="18"/>
                <w:lang w:eastAsia="es-PE"/>
              </w:rPr>
              <w:t>AMYPE</w:t>
            </w:r>
          </w:p>
        </w:tc>
        <w:tc>
          <w:tcPr>
            <w:tcW w:w="1560" w:type="dxa"/>
            <w:tcBorders>
              <w:top w:val="nil"/>
              <w:left w:val="nil"/>
              <w:bottom w:val="single" w:sz="4" w:space="0" w:color="auto"/>
              <w:right w:val="single" w:sz="4" w:space="0" w:color="auto"/>
            </w:tcBorders>
            <w:shd w:val="clear" w:color="auto" w:fill="auto"/>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1,967 </w:t>
            </w:r>
          </w:p>
        </w:tc>
        <w:tc>
          <w:tcPr>
            <w:tcW w:w="1414" w:type="dxa"/>
            <w:tcBorders>
              <w:top w:val="nil"/>
              <w:left w:val="nil"/>
              <w:bottom w:val="single" w:sz="4" w:space="0" w:color="auto"/>
              <w:right w:val="single" w:sz="4" w:space="0" w:color="auto"/>
            </w:tcBorders>
            <w:shd w:val="clear" w:color="auto" w:fill="auto"/>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 12,948.76 </w:t>
            </w:r>
          </w:p>
        </w:tc>
        <w:tc>
          <w:tcPr>
            <w:tcW w:w="1478" w:type="dxa"/>
            <w:tcBorders>
              <w:top w:val="nil"/>
              <w:left w:val="nil"/>
              <w:bottom w:val="single" w:sz="4" w:space="0" w:color="auto"/>
              <w:right w:val="single" w:sz="4" w:space="0" w:color="auto"/>
            </w:tcBorders>
            <w:shd w:val="clear" w:color="auto" w:fill="auto"/>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 55,744.87 </w:t>
            </w:r>
          </w:p>
        </w:tc>
      </w:tr>
      <w:tr w:rsidR="00045098" w:rsidRPr="00883E07" w:rsidTr="00224D13">
        <w:trPr>
          <w:trHeight w:val="126"/>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rsidR="00045098" w:rsidRPr="00883E07" w:rsidRDefault="00045098" w:rsidP="00224D13">
            <w:pPr>
              <w:rPr>
                <w:rFonts w:asciiTheme="majorHAnsi" w:hAnsiTheme="majorHAnsi"/>
                <w:b/>
                <w:bCs/>
                <w:color w:val="000000"/>
                <w:sz w:val="18"/>
                <w:lang w:eastAsia="es-PE"/>
              </w:rPr>
            </w:pPr>
            <w:r w:rsidRPr="00883E07">
              <w:rPr>
                <w:rFonts w:asciiTheme="majorHAnsi" w:hAnsiTheme="majorHAnsi"/>
                <w:b/>
                <w:bCs/>
                <w:color w:val="000000"/>
                <w:sz w:val="18"/>
                <w:lang w:eastAsia="es-PE"/>
              </w:rPr>
              <w:t>AMYGE</w:t>
            </w:r>
          </w:p>
        </w:tc>
        <w:tc>
          <w:tcPr>
            <w:tcW w:w="1560" w:type="dxa"/>
            <w:tcBorders>
              <w:top w:val="nil"/>
              <w:left w:val="nil"/>
              <w:bottom w:val="single" w:sz="4" w:space="0" w:color="auto"/>
              <w:right w:val="single" w:sz="4" w:space="0" w:color="auto"/>
            </w:tcBorders>
            <w:shd w:val="clear" w:color="auto" w:fill="auto"/>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121 </w:t>
            </w:r>
          </w:p>
        </w:tc>
        <w:tc>
          <w:tcPr>
            <w:tcW w:w="1414" w:type="dxa"/>
            <w:tcBorders>
              <w:top w:val="nil"/>
              <w:left w:val="nil"/>
              <w:bottom w:val="single" w:sz="4" w:space="0" w:color="auto"/>
              <w:right w:val="single" w:sz="4" w:space="0" w:color="auto"/>
            </w:tcBorders>
            <w:shd w:val="clear" w:color="auto" w:fill="auto"/>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 10,883.57 </w:t>
            </w:r>
          </w:p>
        </w:tc>
        <w:tc>
          <w:tcPr>
            <w:tcW w:w="1478" w:type="dxa"/>
            <w:tcBorders>
              <w:top w:val="nil"/>
              <w:left w:val="nil"/>
              <w:bottom w:val="single" w:sz="4" w:space="0" w:color="auto"/>
              <w:right w:val="single" w:sz="4" w:space="0" w:color="auto"/>
            </w:tcBorders>
            <w:shd w:val="clear" w:color="auto" w:fill="auto"/>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 36,058.71 </w:t>
            </w:r>
          </w:p>
        </w:tc>
      </w:tr>
      <w:tr w:rsidR="00045098" w:rsidRPr="00883E07" w:rsidTr="00224D13">
        <w:trPr>
          <w:trHeight w:val="187"/>
          <w:jc w:val="center"/>
        </w:trPr>
        <w:tc>
          <w:tcPr>
            <w:tcW w:w="1568" w:type="dxa"/>
            <w:tcBorders>
              <w:top w:val="nil"/>
              <w:left w:val="single" w:sz="4" w:space="0" w:color="auto"/>
              <w:bottom w:val="single" w:sz="4" w:space="0" w:color="auto"/>
              <w:right w:val="single" w:sz="4" w:space="0" w:color="auto"/>
            </w:tcBorders>
            <w:shd w:val="clear" w:color="auto" w:fill="auto"/>
            <w:vAlign w:val="bottom"/>
            <w:hideMark/>
          </w:tcPr>
          <w:p w:rsidR="00045098" w:rsidRPr="00883E07" w:rsidRDefault="00045098" w:rsidP="00224D13">
            <w:pPr>
              <w:rPr>
                <w:rFonts w:asciiTheme="majorHAnsi" w:hAnsiTheme="majorHAnsi"/>
                <w:b/>
                <w:bCs/>
                <w:color w:val="000000"/>
                <w:sz w:val="18"/>
                <w:lang w:eastAsia="es-PE"/>
              </w:rPr>
            </w:pPr>
            <w:r w:rsidRPr="00883E07">
              <w:rPr>
                <w:rFonts w:asciiTheme="majorHAnsi" w:hAnsiTheme="majorHAnsi"/>
                <w:b/>
                <w:bCs/>
                <w:color w:val="000000"/>
                <w:sz w:val="18"/>
                <w:lang w:eastAsia="es-PE"/>
              </w:rPr>
              <w:t>Investigación</w:t>
            </w:r>
          </w:p>
        </w:tc>
        <w:tc>
          <w:tcPr>
            <w:tcW w:w="1560" w:type="dxa"/>
            <w:tcBorders>
              <w:top w:val="nil"/>
              <w:left w:val="nil"/>
              <w:bottom w:val="single" w:sz="4" w:space="0" w:color="auto"/>
              <w:right w:val="single" w:sz="4" w:space="0" w:color="auto"/>
            </w:tcBorders>
            <w:shd w:val="clear" w:color="auto" w:fill="auto"/>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 1 </w:t>
            </w:r>
          </w:p>
        </w:tc>
        <w:tc>
          <w:tcPr>
            <w:tcW w:w="1414" w:type="dxa"/>
            <w:tcBorders>
              <w:top w:val="nil"/>
              <w:left w:val="nil"/>
              <w:bottom w:val="single" w:sz="4" w:space="0" w:color="auto"/>
              <w:right w:val="single" w:sz="4" w:space="0" w:color="auto"/>
            </w:tcBorders>
            <w:shd w:val="clear" w:color="auto" w:fill="auto"/>
            <w:noWrap/>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 xml:space="preserve"> 0.98 </w:t>
            </w:r>
          </w:p>
        </w:tc>
        <w:tc>
          <w:tcPr>
            <w:tcW w:w="1478" w:type="dxa"/>
            <w:tcBorders>
              <w:top w:val="nil"/>
              <w:left w:val="nil"/>
              <w:bottom w:val="single" w:sz="4" w:space="0" w:color="auto"/>
              <w:right w:val="single" w:sz="4" w:space="0" w:color="auto"/>
            </w:tcBorders>
            <w:shd w:val="clear" w:color="auto" w:fill="auto"/>
            <w:noWrap/>
            <w:vAlign w:val="bottom"/>
            <w:hideMark/>
          </w:tcPr>
          <w:p w:rsidR="00045098" w:rsidRPr="00883E07" w:rsidRDefault="00045098" w:rsidP="00224D13">
            <w:pPr>
              <w:jc w:val="right"/>
              <w:rPr>
                <w:rFonts w:asciiTheme="majorHAnsi" w:hAnsiTheme="majorHAnsi"/>
                <w:color w:val="000000"/>
                <w:sz w:val="18"/>
                <w:lang w:eastAsia="es-PE"/>
              </w:rPr>
            </w:pPr>
            <w:r w:rsidRPr="00883E07">
              <w:rPr>
                <w:rFonts w:asciiTheme="majorHAnsi" w:hAnsiTheme="majorHAnsi"/>
                <w:color w:val="000000"/>
                <w:sz w:val="18"/>
                <w:lang w:eastAsia="es-PE"/>
              </w:rPr>
              <w:t>0</w:t>
            </w:r>
          </w:p>
        </w:tc>
      </w:tr>
      <w:tr w:rsidR="00045098" w:rsidRPr="00883E07" w:rsidTr="00224D13">
        <w:trPr>
          <w:trHeight w:val="118"/>
          <w:jc w:val="center"/>
        </w:trPr>
        <w:tc>
          <w:tcPr>
            <w:tcW w:w="1568" w:type="dxa"/>
            <w:tcBorders>
              <w:top w:val="nil"/>
              <w:left w:val="single" w:sz="4" w:space="0" w:color="auto"/>
              <w:bottom w:val="single" w:sz="4" w:space="0" w:color="auto"/>
              <w:right w:val="single" w:sz="4" w:space="0" w:color="auto"/>
            </w:tcBorders>
            <w:shd w:val="clear" w:color="000000" w:fill="C00000"/>
            <w:vAlign w:val="bottom"/>
            <w:hideMark/>
          </w:tcPr>
          <w:p w:rsidR="00045098" w:rsidRPr="00883E07" w:rsidRDefault="00045098" w:rsidP="00224D13">
            <w:pPr>
              <w:rPr>
                <w:rFonts w:asciiTheme="majorHAnsi" w:hAnsiTheme="majorHAnsi"/>
                <w:b/>
                <w:bCs/>
                <w:color w:val="FFFFFF"/>
                <w:sz w:val="18"/>
                <w:lang w:eastAsia="es-PE"/>
              </w:rPr>
            </w:pPr>
            <w:r w:rsidRPr="00883E07">
              <w:rPr>
                <w:rFonts w:asciiTheme="majorHAnsi" w:hAnsiTheme="majorHAnsi"/>
                <w:b/>
                <w:bCs/>
                <w:color w:val="FFFFFF"/>
                <w:sz w:val="18"/>
                <w:lang w:eastAsia="es-PE"/>
              </w:rPr>
              <w:t>Total</w:t>
            </w:r>
          </w:p>
        </w:tc>
        <w:tc>
          <w:tcPr>
            <w:tcW w:w="1560" w:type="dxa"/>
            <w:tcBorders>
              <w:top w:val="nil"/>
              <w:left w:val="nil"/>
              <w:bottom w:val="single" w:sz="4" w:space="0" w:color="auto"/>
              <w:right w:val="single" w:sz="4" w:space="0" w:color="auto"/>
            </w:tcBorders>
            <w:shd w:val="clear" w:color="000000" w:fill="C00000"/>
            <w:noWrap/>
            <w:vAlign w:val="bottom"/>
            <w:hideMark/>
          </w:tcPr>
          <w:p w:rsidR="00045098" w:rsidRPr="00883E07" w:rsidRDefault="00045098" w:rsidP="00224D13">
            <w:pPr>
              <w:jc w:val="right"/>
              <w:rPr>
                <w:rFonts w:asciiTheme="majorHAnsi" w:hAnsiTheme="majorHAnsi"/>
                <w:color w:val="FFFFFF"/>
                <w:sz w:val="18"/>
                <w:lang w:eastAsia="es-PE"/>
              </w:rPr>
            </w:pPr>
            <w:r w:rsidRPr="00883E07">
              <w:rPr>
                <w:rFonts w:asciiTheme="majorHAnsi" w:hAnsiTheme="majorHAnsi"/>
                <w:color w:val="FFFFFF"/>
                <w:sz w:val="18"/>
                <w:lang w:eastAsia="es-PE"/>
              </w:rPr>
              <w:t xml:space="preserve">3,862 </w:t>
            </w:r>
          </w:p>
        </w:tc>
        <w:tc>
          <w:tcPr>
            <w:tcW w:w="1414" w:type="dxa"/>
            <w:tcBorders>
              <w:top w:val="nil"/>
              <w:left w:val="nil"/>
              <w:bottom w:val="single" w:sz="4" w:space="0" w:color="auto"/>
              <w:right w:val="single" w:sz="4" w:space="0" w:color="auto"/>
            </w:tcBorders>
            <w:shd w:val="clear" w:color="000000" w:fill="C00000"/>
            <w:noWrap/>
            <w:vAlign w:val="bottom"/>
            <w:hideMark/>
          </w:tcPr>
          <w:p w:rsidR="00045098" w:rsidRPr="00883E07" w:rsidRDefault="00045098" w:rsidP="00224D13">
            <w:pPr>
              <w:jc w:val="right"/>
              <w:rPr>
                <w:rFonts w:asciiTheme="majorHAnsi" w:hAnsiTheme="majorHAnsi"/>
                <w:color w:val="FFFFFF"/>
                <w:sz w:val="18"/>
                <w:lang w:eastAsia="es-PE"/>
              </w:rPr>
            </w:pPr>
            <w:r w:rsidRPr="00883E07">
              <w:rPr>
                <w:rFonts w:asciiTheme="majorHAnsi" w:hAnsiTheme="majorHAnsi"/>
                <w:color w:val="FFFFFF"/>
                <w:sz w:val="18"/>
                <w:lang w:eastAsia="es-PE"/>
              </w:rPr>
              <w:t xml:space="preserve">25,847 </w:t>
            </w:r>
          </w:p>
        </w:tc>
        <w:tc>
          <w:tcPr>
            <w:tcW w:w="1478" w:type="dxa"/>
            <w:tcBorders>
              <w:top w:val="nil"/>
              <w:left w:val="nil"/>
              <w:bottom w:val="single" w:sz="4" w:space="0" w:color="auto"/>
              <w:right w:val="single" w:sz="4" w:space="0" w:color="auto"/>
            </w:tcBorders>
            <w:shd w:val="clear" w:color="000000" w:fill="C00000"/>
            <w:noWrap/>
            <w:vAlign w:val="bottom"/>
            <w:hideMark/>
          </w:tcPr>
          <w:p w:rsidR="00045098" w:rsidRPr="00883E07" w:rsidRDefault="00045098" w:rsidP="00224D13">
            <w:pPr>
              <w:jc w:val="right"/>
              <w:rPr>
                <w:rFonts w:asciiTheme="majorHAnsi" w:hAnsiTheme="majorHAnsi"/>
                <w:color w:val="FFFFFF"/>
                <w:sz w:val="18"/>
                <w:lang w:eastAsia="es-PE"/>
              </w:rPr>
            </w:pPr>
            <w:r w:rsidRPr="00883E07">
              <w:rPr>
                <w:rFonts w:asciiTheme="majorHAnsi" w:hAnsiTheme="majorHAnsi"/>
                <w:color w:val="FFFFFF"/>
                <w:sz w:val="18"/>
                <w:lang w:eastAsia="es-PE"/>
              </w:rPr>
              <w:t xml:space="preserve">92,201 </w:t>
            </w:r>
          </w:p>
        </w:tc>
      </w:tr>
    </w:tbl>
    <w:p w:rsidR="00045098" w:rsidRPr="00883E07" w:rsidRDefault="00045098" w:rsidP="00045098">
      <w:pPr>
        <w:spacing w:before="240" w:after="240"/>
        <w:jc w:val="both"/>
        <w:rPr>
          <w:rFonts w:asciiTheme="majorHAnsi" w:hAnsiTheme="majorHAnsi" w:cs="Arial"/>
          <w:sz w:val="16"/>
          <w:szCs w:val="16"/>
        </w:rPr>
      </w:pPr>
      <w:r w:rsidRPr="00883E07">
        <w:rPr>
          <w:rFonts w:asciiTheme="majorHAnsi" w:hAnsiTheme="majorHAnsi" w:cs="Arial"/>
          <w:sz w:val="16"/>
          <w:szCs w:val="16"/>
        </w:rPr>
        <w:t>Fuente: DIAC-DGCHD</w:t>
      </w:r>
    </w:p>
    <w:p w:rsidR="005A2313" w:rsidRDefault="005A2313" w:rsidP="00045098">
      <w:pPr>
        <w:spacing w:before="240" w:after="240"/>
        <w:jc w:val="both"/>
        <w:rPr>
          <w:rFonts w:asciiTheme="majorHAnsi" w:hAnsiTheme="majorHAnsi" w:cs="Arial"/>
          <w:sz w:val="22"/>
          <w:szCs w:val="22"/>
        </w:rPr>
      </w:pPr>
    </w:p>
    <w:p w:rsidR="00883E07" w:rsidRPr="00883E07" w:rsidRDefault="00883E07" w:rsidP="00045098">
      <w:pPr>
        <w:spacing w:before="240" w:after="240"/>
        <w:jc w:val="both"/>
        <w:rPr>
          <w:rFonts w:asciiTheme="majorHAnsi" w:hAnsiTheme="majorHAnsi" w:cs="Arial"/>
          <w:sz w:val="22"/>
          <w:szCs w:val="22"/>
        </w:rPr>
      </w:pP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Es importante indicar, que el Perú sería uno de los primeros países en incluir dichas clasificaciones en su legislación, con el fin de contribuir con el ordenamiento y desarrollo de la acuicultura, así como fomento de la gestión empresarial de los AREL, AMYPE y AMYGE en Acuicultura.</w:t>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En lo que respecta a Responsabilidad Social, se observa que ha tenido un buen resultado el aporte del 20% de la suma resultante del beneficio tributario (aporte de responsabilidad social), el cual ha servido para desarrollar proyectos dentro de las localidades donde se realizan las operaciones acuícolas como proyectos de educación por 256 264,06 Nuevos   Soles   (31%),   de  infraestructura  por 245 715,41 Nuevos Soles (30%), de salud por 179 747,42 Nuevos Soles (22%), y de generación de ingresos por 140 854,75 Nuevos Soles (17%)</w:t>
      </w:r>
      <w:r w:rsidR="0032051B">
        <w:rPr>
          <w:rFonts w:asciiTheme="majorHAnsi" w:hAnsiTheme="majorHAnsi" w:cs="Arial"/>
          <w:sz w:val="22"/>
          <w:szCs w:val="22"/>
        </w:rPr>
        <w:t xml:space="preserve"> (Creando un ambiente de buena </w:t>
      </w:r>
      <w:r w:rsidR="001D744D">
        <w:rPr>
          <w:rFonts w:asciiTheme="majorHAnsi" w:hAnsiTheme="majorHAnsi" w:cs="Arial"/>
          <w:sz w:val="22"/>
          <w:szCs w:val="22"/>
        </w:rPr>
        <w:t>vecindad</w:t>
      </w:r>
      <w:r w:rsidR="0032051B">
        <w:rPr>
          <w:rFonts w:asciiTheme="majorHAnsi" w:hAnsiTheme="majorHAnsi" w:cs="Arial"/>
          <w:sz w:val="22"/>
          <w:szCs w:val="22"/>
        </w:rPr>
        <w:t>)</w:t>
      </w:r>
      <w:r w:rsidRPr="00883E07">
        <w:rPr>
          <w:rFonts w:asciiTheme="majorHAnsi" w:hAnsiTheme="majorHAnsi" w:cs="Arial"/>
          <w:sz w:val="22"/>
          <w:szCs w:val="22"/>
        </w:rPr>
        <w:t>. Lo que amerita extender los beneficios tributarios hasta el 2021 dentro del marco del Plan Nacional de Desarrollo Acuícola y como estrategia de promoción para la inversión en esta actividad, para alcanzar las metas trazadas al referido año. Por otro lado, puede considerarse como una medida de contingencia inmediata para el descenso de la producción acuícola ocasionada por la crisis mundial, el aumento en el costo de la mano de obra, el aumento de los combustibles, entre otros.</w:t>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Otro tema importante es reglamentar de algún modo el Derecho de Propiedad sobre las concesiones acuícolas, lo cual permitiría inscribir en los Registros Públicos dichas concesiones, apoyando el acceso a créditos de inversión para la actividad acuícola de mediana y gran empresa.</w:t>
      </w:r>
    </w:p>
    <w:p w:rsidR="00642250" w:rsidRPr="00883E07" w:rsidRDefault="00DB43D6" w:rsidP="00DB43D6">
      <w:pPr>
        <w:autoSpaceDE w:val="0"/>
        <w:autoSpaceDN w:val="0"/>
        <w:adjustRightInd w:val="0"/>
        <w:rPr>
          <w:rFonts w:asciiTheme="majorHAnsi" w:hAnsiTheme="majorHAnsi" w:cs="Arial"/>
          <w:b/>
          <w:sz w:val="22"/>
          <w:u w:val="single"/>
        </w:rPr>
      </w:pPr>
      <w:r w:rsidRPr="00883E07">
        <w:rPr>
          <w:rFonts w:asciiTheme="majorHAnsi" w:hAnsiTheme="majorHAnsi" w:cs="Arial"/>
          <w:b/>
          <w:sz w:val="22"/>
          <w:u w:val="single"/>
        </w:rPr>
        <w:lastRenderedPageBreak/>
        <w:t>Aspectos Ambientales</w:t>
      </w:r>
    </w:p>
    <w:p w:rsidR="00642250" w:rsidRPr="00883E07" w:rsidRDefault="00642250" w:rsidP="003D353B">
      <w:pPr>
        <w:autoSpaceDE w:val="0"/>
        <w:autoSpaceDN w:val="0"/>
        <w:adjustRightInd w:val="0"/>
        <w:spacing w:before="240" w:after="240"/>
        <w:jc w:val="both"/>
        <w:rPr>
          <w:rFonts w:asciiTheme="majorHAnsi" w:hAnsiTheme="majorHAnsi" w:cs="Arial"/>
          <w:sz w:val="22"/>
          <w:szCs w:val="22"/>
        </w:rPr>
      </w:pPr>
      <w:r w:rsidRPr="00883E07">
        <w:rPr>
          <w:rFonts w:asciiTheme="majorHAnsi" w:hAnsiTheme="majorHAnsi" w:cs="Arial"/>
          <w:sz w:val="22"/>
          <w:szCs w:val="22"/>
        </w:rPr>
        <w:t xml:space="preserve">Se viene aplicando un enfoque </w:t>
      </w:r>
      <w:proofErr w:type="spellStart"/>
      <w:r w:rsidRPr="00883E07">
        <w:rPr>
          <w:rFonts w:asciiTheme="majorHAnsi" w:hAnsiTheme="majorHAnsi" w:cs="Arial"/>
          <w:sz w:val="22"/>
          <w:szCs w:val="22"/>
        </w:rPr>
        <w:t>ecosistémico</w:t>
      </w:r>
      <w:proofErr w:type="spellEnd"/>
      <w:r w:rsidRPr="00883E07">
        <w:rPr>
          <w:rFonts w:asciiTheme="majorHAnsi" w:hAnsiTheme="majorHAnsi" w:cs="Arial"/>
          <w:sz w:val="22"/>
          <w:szCs w:val="22"/>
        </w:rPr>
        <w:t xml:space="preserve"> en la gestión de la acuicultura incorporando para tal efecto, el uso de estudios de los ecosistemas, la determinación y monitoreo permanente de la capacidad de carga, además del monitoreo sanitario de las áreas de producción acuícola. La actividad formal se desarrolla en áreas habilitadas para la acuicultura, las cuales tienen como base estudios de IMARPE y autorización de DICAPI, que aseguran la no superposición de estas áreas sobre bancos naturales, zonas de pesca, corredores de navegación y otras actividades. </w:t>
      </w:r>
    </w:p>
    <w:p w:rsidR="00045098" w:rsidRPr="00883E07" w:rsidRDefault="00045098" w:rsidP="00045098">
      <w:pPr>
        <w:autoSpaceDE w:val="0"/>
        <w:autoSpaceDN w:val="0"/>
        <w:adjustRightInd w:val="0"/>
        <w:spacing w:before="240" w:after="240"/>
        <w:jc w:val="both"/>
        <w:rPr>
          <w:rFonts w:asciiTheme="majorHAnsi" w:hAnsiTheme="majorHAnsi" w:cs="Arial"/>
          <w:sz w:val="22"/>
          <w:szCs w:val="22"/>
          <w:lang w:val="es-MX"/>
        </w:rPr>
      </w:pPr>
      <w:r w:rsidRPr="00883E07">
        <w:rPr>
          <w:rFonts w:asciiTheme="majorHAnsi" w:hAnsiTheme="majorHAnsi" w:cs="Arial"/>
          <w:sz w:val="22"/>
          <w:szCs w:val="22"/>
          <w:lang w:val="es-MX"/>
        </w:rPr>
        <w:t>La actividad de Acuicultura de Recursos Limitados (AREL) en predios de propiedad privada, por la producción acuícola a obtener puede ser categorizada como una acuicultura de subsistencia, siendo los posibles impactos a generar no significativos.</w:t>
      </w:r>
    </w:p>
    <w:p w:rsidR="00045098" w:rsidRPr="00883E07" w:rsidRDefault="005F7A38" w:rsidP="00045098">
      <w:pPr>
        <w:autoSpaceDE w:val="0"/>
        <w:autoSpaceDN w:val="0"/>
        <w:adjustRightInd w:val="0"/>
        <w:spacing w:before="240" w:after="240"/>
        <w:jc w:val="both"/>
        <w:rPr>
          <w:rFonts w:asciiTheme="majorHAnsi" w:hAnsiTheme="majorHAnsi" w:cs="Arial"/>
          <w:sz w:val="22"/>
          <w:szCs w:val="22"/>
          <w:lang w:val="es-MX"/>
        </w:rPr>
      </w:pPr>
      <w:r w:rsidRPr="00883E07">
        <w:rPr>
          <w:rFonts w:asciiTheme="majorHAnsi" w:hAnsiTheme="majorHAnsi" w:cs="Arial"/>
          <w:sz w:val="22"/>
          <w:szCs w:val="22"/>
          <w:lang w:val="es-MX"/>
        </w:rPr>
        <w:t>Es importante indicar que l</w:t>
      </w:r>
      <w:r w:rsidR="00045098" w:rsidRPr="00883E07">
        <w:rPr>
          <w:rFonts w:asciiTheme="majorHAnsi" w:hAnsiTheme="majorHAnsi" w:cs="Arial"/>
          <w:sz w:val="22"/>
          <w:szCs w:val="22"/>
          <w:lang w:val="es-MX"/>
        </w:rPr>
        <w:t>a acuicultura de AREL, normalmente se realiza con densidades de cultivo a nivel extensivo indicándose que las características de los efluentes generados son de similares características a las del medio ambiente, teniéndose que el manejo de sus residuos y efluentes generados son de impacto ambiental no significativo.</w:t>
      </w:r>
    </w:p>
    <w:p w:rsidR="00045098" w:rsidRPr="00883E07" w:rsidRDefault="00045098" w:rsidP="00045098">
      <w:pPr>
        <w:autoSpaceDE w:val="0"/>
        <w:autoSpaceDN w:val="0"/>
        <w:adjustRightInd w:val="0"/>
        <w:spacing w:before="240" w:after="240"/>
        <w:jc w:val="both"/>
        <w:rPr>
          <w:rFonts w:asciiTheme="majorHAnsi" w:hAnsiTheme="majorHAnsi" w:cs="Arial"/>
          <w:sz w:val="22"/>
          <w:szCs w:val="22"/>
          <w:lang w:val="es-MX"/>
        </w:rPr>
      </w:pPr>
      <w:r w:rsidRPr="00883E07">
        <w:rPr>
          <w:rFonts w:asciiTheme="majorHAnsi" w:hAnsiTheme="majorHAnsi" w:cs="Arial"/>
          <w:sz w:val="22"/>
          <w:szCs w:val="22"/>
          <w:lang w:val="es-MX"/>
        </w:rPr>
        <w:t>La elaboración de una Declaración de Impacto Ambiental requiere de evaluación de los aspectos ambientales cuya exigencia es para proyectos que podrían generar impactos ambientales negativos significativos cuyas características de producción e impactos negativos no corresponden a un AREL, menos aún en propiedad privada en donde existe un mayor control de los parámetros de cultivo.</w:t>
      </w:r>
    </w:p>
    <w:p w:rsidR="00045098" w:rsidRPr="00883E07" w:rsidRDefault="00045098" w:rsidP="00045098">
      <w:pPr>
        <w:autoSpaceDE w:val="0"/>
        <w:autoSpaceDN w:val="0"/>
        <w:adjustRightInd w:val="0"/>
        <w:spacing w:before="240" w:after="240"/>
        <w:jc w:val="both"/>
        <w:rPr>
          <w:rFonts w:asciiTheme="majorHAnsi" w:hAnsiTheme="majorHAnsi" w:cs="Arial"/>
          <w:sz w:val="22"/>
          <w:szCs w:val="22"/>
          <w:lang w:val="es-MX"/>
        </w:rPr>
      </w:pPr>
      <w:r w:rsidRPr="00883E07">
        <w:rPr>
          <w:rFonts w:asciiTheme="majorHAnsi" w:hAnsiTheme="majorHAnsi" w:cs="Arial"/>
          <w:sz w:val="22"/>
          <w:szCs w:val="22"/>
          <w:lang w:val="es-MX"/>
        </w:rPr>
        <w:t>En cuanto a la actividad de repoblamiento a desarrollar por las instituciones públicas del Sector y los Gobiernos Regionales, se realizan con la finalidad de promover un modelo de gestión acuícola que permita la conservación de las especies existentes en el recurso hídrico, y que los pobladores de las zonas de menores recursos económicos puedan generarse ingresos y proveerse de alimento a través de la pesca basada en acuicultura, no teniendo un fin comercial y por lo tanto no teniendo mayores impactos en el ambiente.</w:t>
      </w:r>
    </w:p>
    <w:p w:rsidR="00642250" w:rsidRPr="00883E07" w:rsidRDefault="0057276A" w:rsidP="003B0DEE">
      <w:pPr>
        <w:autoSpaceDE w:val="0"/>
        <w:autoSpaceDN w:val="0"/>
        <w:adjustRightInd w:val="0"/>
        <w:rPr>
          <w:rFonts w:asciiTheme="majorHAnsi" w:hAnsiTheme="majorHAnsi" w:cs="Arial"/>
          <w:b/>
          <w:sz w:val="22"/>
          <w:u w:val="single"/>
        </w:rPr>
      </w:pPr>
      <w:r w:rsidRPr="00883E07">
        <w:rPr>
          <w:rFonts w:asciiTheme="majorHAnsi" w:hAnsiTheme="majorHAnsi" w:cs="Arial"/>
          <w:b/>
          <w:sz w:val="22"/>
          <w:u w:val="single"/>
        </w:rPr>
        <w:t xml:space="preserve">Comparación de </w:t>
      </w:r>
      <w:r w:rsidR="00642250" w:rsidRPr="00883E07">
        <w:rPr>
          <w:rFonts w:asciiTheme="majorHAnsi" w:hAnsiTheme="majorHAnsi" w:cs="Arial"/>
          <w:b/>
          <w:sz w:val="22"/>
          <w:u w:val="single"/>
        </w:rPr>
        <w:t xml:space="preserve">la legislación peruana frente a otros países </w:t>
      </w:r>
    </w:p>
    <w:p w:rsidR="00642250" w:rsidRPr="00883E07" w:rsidRDefault="00642250" w:rsidP="00642250">
      <w:pPr>
        <w:spacing w:before="240" w:after="240"/>
        <w:jc w:val="both"/>
        <w:rPr>
          <w:rFonts w:asciiTheme="majorHAnsi" w:hAnsiTheme="majorHAnsi" w:cs="Arial"/>
          <w:sz w:val="22"/>
          <w:szCs w:val="22"/>
        </w:rPr>
      </w:pPr>
      <w:r w:rsidRPr="00883E07">
        <w:rPr>
          <w:rFonts w:asciiTheme="majorHAnsi" w:hAnsiTheme="majorHAnsi" w:cs="Arial"/>
          <w:sz w:val="22"/>
          <w:szCs w:val="22"/>
        </w:rPr>
        <w:t>Se establecen como casos de éxito regional en los cuales se compara al Perú con países como Brasil y Chile</w:t>
      </w:r>
    </w:p>
    <w:p w:rsidR="00642250" w:rsidRPr="00883E07" w:rsidRDefault="00866050" w:rsidP="00642250">
      <w:pPr>
        <w:pStyle w:val="Default"/>
        <w:spacing w:before="100" w:after="100" w:line="288" w:lineRule="auto"/>
        <w:jc w:val="both"/>
        <w:rPr>
          <w:rFonts w:asciiTheme="majorHAnsi" w:hAnsiTheme="majorHAnsi" w:cs="Arial"/>
          <w:sz w:val="22"/>
          <w:szCs w:val="22"/>
        </w:rPr>
      </w:pPr>
      <w:r w:rsidRPr="00883E07">
        <w:rPr>
          <w:rFonts w:asciiTheme="majorHAnsi" w:hAnsiTheme="majorHAnsi" w:cs="Arial"/>
          <w:b/>
          <w:sz w:val="22"/>
          <w:szCs w:val="22"/>
        </w:rPr>
        <w:t>Gráfico 07</w:t>
      </w:r>
      <w:r w:rsidR="00642250" w:rsidRPr="00883E07">
        <w:rPr>
          <w:rFonts w:asciiTheme="majorHAnsi" w:hAnsiTheme="majorHAnsi" w:cs="Arial"/>
          <w:b/>
          <w:sz w:val="22"/>
          <w:szCs w:val="22"/>
        </w:rPr>
        <w:t>.</w:t>
      </w:r>
      <w:r w:rsidR="00642250" w:rsidRPr="00883E07">
        <w:rPr>
          <w:rFonts w:asciiTheme="majorHAnsi" w:hAnsiTheme="majorHAnsi" w:cs="Arial"/>
          <w:sz w:val="22"/>
          <w:szCs w:val="22"/>
        </w:rPr>
        <w:t xml:space="preserve"> Comparativo entre países</w:t>
      </w:r>
    </w:p>
    <w:p w:rsidR="00642250" w:rsidRPr="00883E07" w:rsidRDefault="00642250" w:rsidP="00642250">
      <w:pPr>
        <w:pStyle w:val="Default"/>
        <w:spacing w:before="100" w:after="100" w:line="288" w:lineRule="auto"/>
        <w:jc w:val="both"/>
        <w:rPr>
          <w:rFonts w:asciiTheme="majorHAnsi" w:hAnsiTheme="majorHAnsi" w:cs="Arial"/>
          <w:sz w:val="22"/>
          <w:szCs w:val="22"/>
        </w:rPr>
      </w:pPr>
      <w:r w:rsidRPr="00883E07">
        <w:rPr>
          <w:rFonts w:asciiTheme="majorHAnsi" w:hAnsiTheme="majorHAnsi" w:cs="Arial"/>
          <w:noProof/>
          <w:sz w:val="22"/>
          <w:szCs w:val="22"/>
          <w:lang w:val="es-PE" w:eastAsia="es-PE"/>
        </w:rPr>
        <w:lastRenderedPageBreak/>
        <w:drawing>
          <wp:inline distT="0" distB="0" distL="0" distR="0">
            <wp:extent cx="5390264" cy="4082902"/>
            <wp:effectExtent l="361950" t="0" r="0" b="0"/>
            <wp:docPr id="23"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A2313" w:rsidRPr="00883E07" w:rsidRDefault="005A2313" w:rsidP="00642250">
      <w:pPr>
        <w:pStyle w:val="Default"/>
        <w:spacing w:before="100" w:after="100" w:line="288" w:lineRule="auto"/>
        <w:jc w:val="both"/>
        <w:rPr>
          <w:rFonts w:asciiTheme="majorHAnsi" w:hAnsiTheme="majorHAnsi" w:cs="Arial"/>
          <w:sz w:val="16"/>
          <w:szCs w:val="16"/>
        </w:rPr>
      </w:pPr>
      <w:r w:rsidRPr="00883E07">
        <w:rPr>
          <w:rFonts w:asciiTheme="majorHAnsi" w:hAnsiTheme="majorHAnsi" w:cs="Arial"/>
          <w:sz w:val="16"/>
          <w:szCs w:val="16"/>
        </w:rPr>
        <w:t>Fuente: DIAC-DGCHD</w:t>
      </w:r>
    </w:p>
    <w:p w:rsidR="005A2313" w:rsidRPr="00883E07" w:rsidRDefault="005A2313" w:rsidP="00642250">
      <w:pPr>
        <w:pStyle w:val="Default"/>
        <w:spacing w:before="100" w:after="100" w:line="288" w:lineRule="auto"/>
        <w:jc w:val="both"/>
        <w:rPr>
          <w:rFonts w:asciiTheme="majorHAnsi" w:hAnsiTheme="majorHAnsi" w:cs="Arial"/>
          <w:b/>
          <w:sz w:val="22"/>
          <w:szCs w:val="22"/>
        </w:rPr>
      </w:pPr>
    </w:p>
    <w:p w:rsidR="005A2313" w:rsidRPr="00883E07" w:rsidRDefault="005A2313" w:rsidP="00642250">
      <w:pPr>
        <w:pStyle w:val="Default"/>
        <w:spacing w:before="100" w:after="100" w:line="288" w:lineRule="auto"/>
        <w:jc w:val="both"/>
        <w:rPr>
          <w:rFonts w:asciiTheme="majorHAnsi" w:hAnsiTheme="majorHAnsi" w:cs="Arial"/>
          <w:b/>
          <w:sz w:val="22"/>
          <w:szCs w:val="22"/>
        </w:rPr>
      </w:pPr>
    </w:p>
    <w:p w:rsidR="005A2313" w:rsidRPr="00883E07" w:rsidRDefault="005A2313" w:rsidP="00642250">
      <w:pPr>
        <w:pStyle w:val="Default"/>
        <w:spacing w:before="100" w:after="100" w:line="288" w:lineRule="auto"/>
        <w:jc w:val="both"/>
        <w:rPr>
          <w:rFonts w:asciiTheme="majorHAnsi" w:hAnsiTheme="majorHAnsi" w:cs="Arial"/>
          <w:b/>
          <w:sz w:val="22"/>
          <w:szCs w:val="22"/>
        </w:rPr>
      </w:pPr>
    </w:p>
    <w:p w:rsidR="005A2313" w:rsidRDefault="005A2313" w:rsidP="00642250">
      <w:pPr>
        <w:pStyle w:val="Default"/>
        <w:spacing w:before="100" w:after="100" w:line="288" w:lineRule="auto"/>
        <w:jc w:val="both"/>
        <w:rPr>
          <w:rFonts w:asciiTheme="majorHAnsi" w:hAnsiTheme="majorHAnsi" w:cs="Arial"/>
          <w:b/>
          <w:sz w:val="22"/>
          <w:szCs w:val="22"/>
        </w:rPr>
      </w:pPr>
    </w:p>
    <w:p w:rsidR="00883E07" w:rsidRDefault="00883E07" w:rsidP="00642250">
      <w:pPr>
        <w:pStyle w:val="Default"/>
        <w:spacing w:before="100" w:after="100" w:line="288" w:lineRule="auto"/>
        <w:jc w:val="both"/>
        <w:rPr>
          <w:rFonts w:asciiTheme="majorHAnsi" w:hAnsiTheme="majorHAnsi" w:cs="Arial"/>
          <w:b/>
          <w:sz w:val="22"/>
          <w:szCs w:val="22"/>
        </w:rPr>
      </w:pPr>
    </w:p>
    <w:p w:rsidR="00883E07" w:rsidRPr="00883E07" w:rsidRDefault="00883E07" w:rsidP="00642250">
      <w:pPr>
        <w:pStyle w:val="Default"/>
        <w:spacing w:before="100" w:after="100" w:line="288" w:lineRule="auto"/>
        <w:jc w:val="both"/>
        <w:rPr>
          <w:rFonts w:asciiTheme="majorHAnsi" w:hAnsiTheme="majorHAnsi" w:cs="Arial"/>
          <w:b/>
          <w:sz w:val="22"/>
          <w:szCs w:val="22"/>
        </w:rPr>
      </w:pPr>
    </w:p>
    <w:p w:rsidR="005A2313" w:rsidRPr="00883E07" w:rsidRDefault="005A2313" w:rsidP="00642250">
      <w:pPr>
        <w:pStyle w:val="Default"/>
        <w:spacing w:before="100" w:after="100" w:line="288" w:lineRule="auto"/>
        <w:jc w:val="both"/>
        <w:rPr>
          <w:rFonts w:asciiTheme="majorHAnsi" w:hAnsiTheme="majorHAnsi" w:cs="Arial"/>
          <w:b/>
          <w:sz w:val="22"/>
          <w:szCs w:val="22"/>
        </w:rPr>
      </w:pPr>
    </w:p>
    <w:p w:rsidR="005A2313" w:rsidRPr="00883E07" w:rsidRDefault="005A2313" w:rsidP="00642250">
      <w:pPr>
        <w:pStyle w:val="Default"/>
        <w:spacing w:before="100" w:after="100" w:line="288" w:lineRule="auto"/>
        <w:jc w:val="both"/>
        <w:rPr>
          <w:rFonts w:asciiTheme="majorHAnsi" w:hAnsiTheme="majorHAnsi" w:cs="Arial"/>
          <w:b/>
          <w:sz w:val="22"/>
          <w:szCs w:val="22"/>
        </w:rPr>
      </w:pPr>
    </w:p>
    <w:p w:rsidR="00642250" w:rsidRPr="00883E07" w:rsidRDefault="00642250" w:rsidP="00642250">
      <w:pPr>
        <w:pStyle w:val="Default"/>
        <w:spacing w:before="100" w:after="100" w:line="288" w:lineRule="auto"/>
        <w:jc w:val="both"/>
        <w:rPr>
          <w:rFonts w:asciiTheme="majorHAnsi" w:hAnsiTheme="majorHAnsi" w:cs="Arial"/>
          <w:sz w:val="22"/>
          <w:szCs w:val="22"/>
        </w:rPr>
      </w:pPr>
      <w:r w:rsidRPr="00883E07">
        <w:rPr>
          <w:rFonts w:asciiTheme="majorHAnsi" w:hAnsiTheme="majorHAnsi" w:cs="Arial"/>
          <w:b/>
          <w:sz w:val="22"/>
          <w:szCs w:val="22"/>
        </w:rPr>
        <w:t>Tabla 0</w:t>
      </w:r>
      <w:r w:rsidR="00866050" w:rsidRPr="00883E07">
        <w:rPr>
          <w:rFonts w:asciiTheme="majorHAnsi" w:hAnsiTheme="majorHAnsi" w:cs="Arial"/>
          <w:b/>
          <w:sz w:val="22"/>
          <w:szCs w:val="22"/>
        </w:rPr>
        <w:t>7</w:t>
      </w:r>
      <w:r w:rsidRPr="00883E07">
        <w:rPr>
          <w:rFonts w:asciiTheme="majorHAnsi" w:hAnsiTheme="majorHAnsi" w:cs="Arial"/>
          <w:b/>
          <w:sz w:val="22"/>
          <w:szCs w:val="22"/>
        </w:rPr>
        <w:t>.</w:t>
      </w:r>
      <w:r w:rsidRPr="00883E07">
        <w:rPr>
          <w:rFonts w:asciiTheme="majorHAnsi" w:hAnsiTheme="majorHAnsi" w:cs="Arial"/>
          <w:sz w:val="22"/>
          <w:szCs w:val="22"/>
        </w:rPr>
        <w:t xml:space="preserve"> Comparativo de normas de acuicultura</w:t>
      </w:r>
    </w:p>
    <w:tbl>
      <w:tblPr>
        <w:tblStyle w:val="Listavistosa-nfasis2"/>
        <w:tblW w:w="0" w:type="auto"/>
        <w:tblLook w:val="04A0" w:firstRow="1" w:lastRow="0" w:firstColumn="1" w:lastColumn="0" w:noHBand="0" w:noVBand="1"/>
      </w:tblPr>
      <w:tblGrid>
        <w:gridCol w:w="2802"/>
        <w:gridCol w:w="2960"/>
        <w:gridCol w:w="2882"/>
      </w:tblGrid>
      <w:tr w:rsidR="00642250" w:rsidRPr="00883E07" w:rsidTr="00DB4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42250" w:rsidRPr="00883E07" w:rsidRDefault="00642250" w:rsidP="00642250">
            <w:pPr>
              <w:pStyle w:val="Prrafodelista"/>
              <w:autoSpaceDE w:val="0"/>
              <w:autoSpaceDN w:val="0"/>
              <w:adjustRightInd w:val="0"/>
              <w:ind w:left="0"/>
              <w:jc w:val="center"/>
              <w:rPr>
                <w:rFonts w:asciiTheme="majorHAnsi" w:hAnsiTheme="majorHAnsi" w:cs="Arial"/>
                <w:sz w:val="18"/>
              </w:rPr>
            </w:pPr>
            <w:r w:rsidRPr="00883E07">
              <w:rPr>
                <w:rFonts w:asciiTheme="majorHAnsi" w:hAnsiTheme="majorHAnsi" w:cs="Arial"/>
                <w:sz w:val="18"/>
              </w:rPr>
              <w:t>PERÚ</w:t>
            </w:r>
          </w:p>
        </w:tc>
        <w:tc>
          <w:tcPr>
            <w:tcW w:w="2960" w:type="dxa"/>
          </w:tcPr>
          <w:p w:rsidR="00642250" w:rsidRPr="00883E07" w:rsidRDefault="00642250" w:rsidP="00642250">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rPr>
            </w:pPr>
            <w:r w:rsidRPr="00883E07">
              <w:rPr>
                <w:rFonts w:asciiTheme="majorHAnsi" w:hAnsiTheme="majorHAnsi" w:cs="Arial"/>
                <w:sz w:val="18"/>
              </w:rPr>
              <w:t>BRASIL</w:t>
            </w:r>
          </w:p>
        </w:tc>
        <w:tc>
          <w:tcPr>
            <w:tcW w:w="2882" w:type="dxa"/>
          </w:tcPr>
          <w:p w:rsidR="00642250" w:rsidRPr="00883E07" w:rsidRDefault="00642250" w:rsidP="00642250">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rPr>
            </w:pPr>
            <w:r w:rsidRPr="00883E07">
              <w:rPr>
                <w:rFonts w:asciiTheme="majorHAnsi" w:hAnsiTheme="majorHAnsi" w:cs="Arial"/>
                <w:sz w:val="18"/>
              </w:rPr>
              <w:t>CHILE</w:t>
            </w:r>
          </w:p>
        </w:tc>
      </w:tr>
      <w:tr w:rsidR="00642250" w:rsidRPr="00883E07" w:rsidTr="00DB4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42250" w:rsidRPr="00883E07" w:rsidRDefault="00642250" w:rsidP="00642250">
            <w:pPr>
              <w:pStyle w:val="Prrafodelista"/>
              <w:autoSpaceDE w:val="0"/>
              <w:autoSpaceDN w:val="0"/>
              <w:adjustRightInd w:val="0"/>
              <w:ind w:left="0"/>
              <w:jc w:val="center"/>
              <w:rPr>
                <w:rFonts w:asciiTheme="majorHAnsi" w:hAnsiTheme="majorHAnsi" w:cs="Arial"/>
                <w:sz w:val="18"/>
              </w:rPr>
            </w:pPr>
            <w:r w:rsidRPr="00883E07">
              <w:rPr>
                <w:rFonts w:asciiTheme="majorHAnsi" w:hAnsiTheme="majorHAnsi" w:cs="Arial"/>
                <w:sz w:val="18"/>
              </w:rPr>
              <w:t>Ministerio de la Producción – Despacho Viceministerial de Pesquería</w:t>
            </w:r>
          </w:p>
        </w:tc>
        <w:tc>
          <w:tcPr>
            <w:tcW w:w="2960" w:type="dxa"/>
          </w:tcPr>
          <w:p w:rsidR="00642250" w:rsidRPr="00883E07" w:rsidRDefault="00642250" w:rsidP="00642250">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18"/>
              </w:rPr>
            </w:pPr>
            <w:r w:rsidRPr="00883E07">
              <w:rPr>
                <w:rFonts w:asciiTheme="majorHAnsi" w:hAnsiTheme="majorHAnsi" w:cs="Arial"/>
                <w:b/>
                <w:sz w:val="18"/>
              </w:rPr>
              <w:t>Ministerio de Pesca y Acuicultura – Secretaria de Ordenamiento y Planeamiento de la Acuicultura</w:t>
            </w:r>
          </w:p>
        </w:tc>
        <w:tc>
          <w:tcPr>
            <w:tcW w:w="2882" w:type="dxa"/>
          </w:tcPr>
          <w:p w:rsidR="00642250" w:rsidRPr="00883E07" w:rsidRDefault="00642250" w:rsidP="00642250">
            <w:pPr>
              <w:pStyle w:val="Prrafodelista"/>
              <w:autoSpaceDE w:val="0"/>
              <w:autoSpaceDN w:val="0"/>
              <w:adjustRightInd w:val="0"/>
              <w:ind w:left="5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18"/>
              </w:rPr>
            </w:pPr>
            <w:r w:rsidRPr="00883E07">
              <w:rPr>
                <w:rFonts w:asciiTheme="majorHAnsi" w:hAnsiTheme="majorHAnsi" w:cs="Arial"/>
                <w:b/>
                <w:sz w:val="18"/>
              </w:rPr>
              <w:t>Ministerio de Economía, Fomento y Reconstrucción</w:t>
            </w:r>
            <w:r w:rsidR="00FB1057" w:rsidRPr="00883E07">
              <w:rPr>
                <w:rFonts w:asciiTheme="majorHAnsi" w:hAnsiTheme="majorHAnsi" w:cs="Arial"/>
                <w:b/>
                <w:sz w:val="18"/>
              </w:rPr>
              <w:t xml:space="preserve"> –   </w:t>
            </w:r>
          </w:p>
          <w:p w:rsidR="00642250" w:rsidRPr="00883E07" w:rsidRDefault="00642250" w:rsidP="00FB1057">
            <w:pPr>
              <w:pStyle w:val="Prrafodelista"/>
              <w:autoSpaceDE w:val="0"/>
              <w:autoSpaceDN w:val="0"/>
              <w:adjustRightInd w:val="0"/>
              <w:ind w:left="5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18"/>
              </w:rPr>
            </w:pPr>
            <w:r w:rsidRPr="00883E07">
              <w:rPr>
                <w:rFonts w:asciiTheme="majorHAnsi" w:hAnsiTheme="majorHAnsi" w:cs="Arial"/>
                <w:b/>
                <w:color w:val="auto"/>
                <w:sz w:val="18"/>
              </w:rPr>
              <w:t>Subsecretaria de Pesca y Acuicultura</w:t>
            </w:r>
          </w:p>
        </w:tc>
      </w:tr>
      <w:tr w:rsidR="00642250" w:rsidRPr="00883E07" w:rsidTr="00DB43D6">
        <w:tc>
          <w:tcPr>
            <w:cnfStyle w:val="001000000000" w:firstRow="0" w:lastRow="0" w:firstColumn="1" w:lastColumn="0" w:oddVBand="0" w:evenVBand="0" w:oddHBand="0" w:evenHBand="0" w:firstRowFirstColumn="0" w:firstRowLastColumn="0" w:lastRowFirstColumn="0" w:lastRowLastColumn="0"/>
            <w:tcW w:w="2802" w:type="dxa"/>
          </w:tcPr>
          <w:p w:rsidR="00642250" w:rsidRPr="00883E07" w:rsidRDefault="00642250" w:rsidP="00642250">
            <w:pPr>
              <w:pStyle w:val="Prrafodelista"/>
              <w:autoSpaceDE w:val="0"/>
              <w:autoSpaceDN w:val="0"/>
              <w:adjustRightInd w:val="0"/>
              <w:ind w:left="0"/>
              <w:rPr>
                <w:rFonts w:asciiTheme="majorHAnsi" w:hAnsiTheme="majorHAnsi" w:cs="Arial"/>
                <w:b w:val="0"/>
                <w:sz w:val="18"/>
              </w:rPr>
            </w:pPr>
          </w:p>
        </w:tc>
        <w:tc>
          <w:tcPr>
            <w:tcW w:w="2960" w:type="dxa"/>
          </w:tcPr>
          <w:p w:rsidR="00642250" w:rsidRPr="00883E07" w:rsidRDefault="00642250" w:rsidP="00642250">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rPr>
            </w:pPr>
          </w:p>
        </w:tc>
        <w:tc>
          <w:tcPr>
            <w:tcW w:w="2882" w:type="dxa"/>
          </w:tcPr>
          <w:p w:rsidR="00642250" w:rsidRPr="00883E07" w:rsidRDefault="00642250" w:rsidP="00642250">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rPr>
            </w:pPr>
          </w:p>
        </w:tc>
      </w:tr>
      <w:tr w:rsidR="00642250" w:rsidRPr="00883E07" w:rsidTr="00DB4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42250" w:rsidRPr="00883E07" w:rsidRDefault="00642250" w:rsidP="00642250">
            <w:pPr>
              <w:pStyle w:val="Prrafodelista"/>
              <w:autoSpaceDE w:val="0"/>
              <w:autoSpaceDN w:val="0"/>
              <w:adjustRightInd w:val="0"/>
              <w:ind w:left="0"/>
              <w:jc w:val="center"/>
              <w:rPr>
                <w:rFonts w:asciiTheme="majorHAnsi" w:hAnsiTheme="majorHAnsi" w:cs="Arial"/>
                <w:sz w:val="18"/>
              </w:rPr>
            </w:pPr>
            <w:r w:rsidRPr="00883E07">
              <w:rPr>
                <w:rFonts w:asciiTheme="majorHAnsi" w:hAnsiTheme="majorHAnsi" w:cs="Arial"/>
                <w:sz w:val="18"/>
              </w:rPr>
              <w:t>Ley Nº 27460 “Ley de Promoción y Desarrollo de la Acuicultura” y leyes complementarias</w:t>
            </w:r>
          </w:p>
        </w:tc>
        <w:tc>
          <w:tcPr>
            <w:tcW w:w="2960" w:type="dxa"/>
          </w:tcPr>
          <w:p w:rsidR="00642250" w:rsidRPr="00883E07" w:rsidRDefault="00642250" w:rsidP="00642250">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18"/>
                <w:lang w:val="es-PE"/>
              </w:rPr>
            </w:pPr>
            <w:r w:rsidRPr="00883E07">
              <w:rPr>
                <w:rFonts w:asciiTheme="majorHAnsi" w:hAnsiTheme="majorHAnsi" w:cs="Arial"/>
                <w:b/>
                <w:bCs/>
                <w:sz w:val="18"/>
                <w:lang w:val="es-PE"/>
              </w:rPr>
              <w:t>Ley N° 11.958</w:t>
            </w:r>
          </w:p>
          <w:p w:rsidR="00642250" w:rsidRPr="00883E07" w:rsidRDefault="00642250" w:rsidP="00642250">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18"/>
              </w:rPr>
            </w:pPr>
            <w:r w:rsidRPr="00883E07">
              <w:rPr>
                <w:rFonts w:asciiTheme="majorHAnsi" w:hAnsiTheme="majorHAnsi" w:cs="Arial"/>
                <w:b/>
                <w:bCs/>
                <w:sz w:val="18"/>
                <w:lang w:val="es-PE"/>
              </w:rPr>
              <w:t>Política Nacional de Desarrollo Sustentable de la Acuicultura y la Pesca</w:t>
            </w:r>
          </w:p>
        </w:tc>
        <w:tc>
          <w:tcPr>
            <w:tcW w:w="2882" w:type="dxa"/>
          </w:tcPr>
          <w:p w:rsidR="00642250" w:rsidRPr="00883E07" w:rsidRDefault="00642250" w:rsidP="00642250">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18"/>
              </w:rPr>
            </w:pPr>
            <w:r w:rsidRPr="00883E07">
              <w:rPr>
                <w:rFonts w:asciiTheme="majorHAnsi" w:hAnsiTheme="majorHAnsi" w:cs="Arial"/>
                <w:b/>
                <w:sz w:val="18"/>
              </w:rPr>
              <w:t xml:space="preserve">Ley N° 18.892 (1989), </w:t>
            </w:r>
          </w:p>
          <w:p w:rsidR="00642250" w:rsidRPr="00883E07" w:rsidRDefault="00642250" w:rsidP="00642250">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18"/>
              </w:rPr>
            </w:pPr>
            <w:r w:rsidRPr="00883E07">
              <w:rPr>
                <w:rFonts w:asciiTheme="majorHAnsi" w:hAnsiTheme="majorHAnsi" w:cs="Arial"/>
                <w:b/>
                <w:sz w:val="18"/>
              </w:rPr>
              <w:t>Ley N° 20.434</w:t>
            </w:r>
          </w:p>
        </w:tc>
      </w:tr>
      <w:tr w:rsidR="00642250" w:rsidRPr="00883E07" w:rsidTr="00DB43D6">
        <w:tc>
          <w:tcPr>
            <w:cnfStyle w:val="001000000000" w:firstRow="0" w:lastRow="0" w:firstColumn="1" w:lastColumn="0" w:oddVBand="0" w:evenVBand="0" w:oddHBand="0" w:evenHBand="0" w:firstRowFirstColumn="0" w:firstRowLastColumn="0" w:lastRowFirstColumn="0" w:lastRowLastColumn="0"/>
            <w:tcW w:w="2802" w:type="dxa"/>
          </w:tcPr>
          <w:p w:rsidR="00642250" w:rsidRPr="00883E07" w:rsidRDefault="00642250" w:rsidP="00642250">
            <w:pPr>
              <w:pStyle w:val="Prrafodelista"/>
              <w:autoSpaceDE w:val="0"/>
              <w:autoSpaceDN w:val="0"/>
              <w:adjustRightInd w:val="0"/>
              <w:ind w:left="0"/>
              <w:rPr>
                <w:rFonts w:asciiTheme="majorHAnsi" w:hAnsiTheme="majorHAnsi" w:cs="Arial"/>
                <w:b w:val="0"/>
                <w:sz w:val="18"/>
              </w:rPr>
            </w:pPr>
          </w:p>
        </w:tc>
        <w:tc>
          <w:tcPr>
            <w:tcW w:w="2960" w:type="dxa"/>
          </w:tcPr>
          <w:p w:rsidR="00642250" w:rsidRPr="00883E07" w:rsidRDefault="00642250" w:rsidP="00642250">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rPr>
            </w:pPr>
          </w:p>
        </w:tc>
        <w:tc>
          <w:tcPr>
            <w:tcW w:w="2882" w:type="dxa"/>
          </w:tcPr>
          <w:p w:rsidR="00642250" w:rsidRPr="00883E07" w:rsidRDefault="00642250" w:rsidP="00642250">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rPr>
            </w:pPr>
          </w:p>
        </w:tc>
      </w:tr>
      <w:tr w:rsidR="00642250" w:rsidRPr="00883E07" w:rsidTr="00DB4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42250" w:rsidRPr="00883E07" w:rsidRDefault="00642250" w:rsidP="00642250">
            <w:pPr>
              <w:pStyle w:val="Prrafodelista"/>
              <w:numPr>
                <w:ilvl w:val="0"/>
                <w:numId w:val="17"/>
              </w:numPr>
              <w:autoSpaceDE w:val="0"/>
              <w:autoSpaceDN w:val="0"/>
              <w:adjustRightInd w:val="0"/>
              <w:ind w:left="142" w:hanging="142"/>
              <w:rPr>
                <w:rFonts w:asciiTheme="majorHAnsi" w:hAnsiTheme="majorHAnsi" w:cs="Arial"/>
                <w:b w:val="0"/>
                <w:sz w:val="16"/>
                <w:szCs w:val="16"/>
              </w:rPr>
            </w:pPr>
            <w:r w:rsidRPr="00883E07">
              <w:rPr>
                <w:rFonts w:asciiTheme="majorHAnsi" w:hAnsiTheme="majorHAnsi" w:cs="Arial"/>
                <w:b w:val="0"/>
                <w:sz w:val="16"/>
                <w:szCs w:val="16"/>
              </w:rPr>
              <w:t>Define la acuicultura y su acceso a ella</w:t>
            </w:r>
          </w:p>
          <w:p w:rsidR="00642250" w:rsidRPr="00883E07" w:rsidRDefault="00642250" w:rsidP="00642250">
            <w:pPr>
              <w:pStyle w:val="Prrafodelista"/>
              <w:numPr>
                <w:ilvl w:val="0"/>
                <w:numId w:val="17"/>
              </w:numPr>
              <w:autoSpaceDE w:val="0"/>
              <w:autoSpaceDN w:val="0"/>
              <w:adjustRightInd w:val="0"/>
              <w:ind w:left="142" w:hanging="142"/>
              <w:rPr>
                <w:rFonts w:asciiTheme="majorHAnsi" w:hAnsiTheme="majorHAnsi" w:cs="Arial"/>
                <w:b w:val="0"/>
                <w:sz w:val="16"/>
                <w:szCs w:val="16"/>
              </w:rPr>
            </w:pPr>
            <w:r w:rsidRPr="00883E07">
              <w:rPr>
                <w:rFonts w:asciiTheme="majorHAnsi" w:hAnsiTheme="majorHAnsi" w:cs="Arial"/>
                <w:b w:val="0"/>
                <w:sz w:val="16"/>
                <w:szCs w:val="16"/>
              </w:rPr>
              <w:t>Establece medidas promocionales para la actividad (IR 15%, retorno del IGV)</w:t>
            </w:r>
          </w:p>
          <w:p w:rsidR="00642250" w:rsidRPr="00883E07" w:rsidRDefault="00642250" w:rsidP="00642250">
            <w:pPr>
              <w:pStyle w:val="Prrafodelista"/>
              <w:numPr>
                <w:ilvl w:val="0"/>
                <w:numId w:val="17"/>
              </w:numPr>
              <w:autoSpaceDE w:val="0"/>
              <w:autoSpaceDN w:val="0"/>
              <w:adjustRightInd w:val="0"/>
              <w:ind w:left="142" w:hanging="142"/>
              <w:rPr>
                <w:rFonts w:asciiTheme="majorHAnsi" w:hAnsiTheme="majorHAnsi" w:cs="Arial"/>
                <w:b w:val="0"/>
                <w:sz w:val="16"/>
                <w:szCs w:val="16"/>
              </w:rPr>
            </w:pPr>
            <w:r w:rsidRPr="00883E07">
              <w:rPr>
                <w:rFonts w:asciiTheme="majorHAnsi" w:hAnsiTheme="majorHAnsi" w:cs="Arial"/>
                <w:b w:val="0"/>
                <w:sz w:val="16"/>
                <w:szCs w:val="16"/>
              </w:rPr>
              <w:lastRenderedPageBreak/>
              <w:t>Establece aspectos de responsabilidad social</w:t>
            </w:r>
          </w:p>
          <w:p w:rsidR="00642250" w:rsidRPr="00883E07" w:rsidRDefault="00642250" w:rsidP="00642250">
            <w:pPr>
              <w:pStyle w:val="Prrafodelista"/>
              <w:numPr>
                <w:ilvl w:val="0"/>
                <w:numId w:val="17"/>
              </w:numPr>
              <w:autoSpaceDE w:val="0"/>
              <w:autoSpaceDN w:val="0"/>
              <w:adjustRightInd w:val="0"/>
              <w:ind w:left="142" w:hanging="142"/>
              <w:rPr>
                <w:rFonts w:asciiTheme="majorHAnsi" w:hAnsiTheme="majorHAnsi" w:cs="Arial"/>
                <w:b w:val="0"/>
                <w:sz w:val="16"/>
                <w:szCs w:val="16"/>
              </w:rPr>
            </w:pPr>
            <w:r w:rsidRPr="00883E07">
              <w:rPr>
                <w:rFonts w:asciiTheme="majorHAnsi" w:hAnsiTheme="majorHAnsi" w:cs="Arial"/>
                <w:b w:val="0"/>
                <w:sz w:val="16"/>
                <w:szCs w:val="16"/>
              </w:rPr>
              <w:t>Crea el Catastro Acuícola Nacional, la Red nacional de Información Acuícola y el Fondo de Investigación Acuícola</w:t>
            </w:r>
          </w:p>
          <w:p w:rsidR="00642250" w:rsidRPr="00883E07" w:rsidRDefault="00642250" w:rsidP="00642250">
            <w:pPr>
              <w:pStyle w:val="Prrafodelista"/>
              <w:numPr>
                <w:ilvl w:val="0"/>
                <w:numId w:val="17"/>
              </w:numPr>
              <w:autoSpaceDE w:val="0"/>
              <w:autoSpaceDN w:val="0"/>
              <w:adjustRightInd w:val="0"/>
              <w:ind w:left="142" w:hanging="142"/>
              <w:rPr>
                <w:rFonts w:asciiTheme="majorHAnsi" w:hAnsiTheme="majorHAnsi" w:cs="Arial"/>
                <w:b w:val="0"/>
                <w:sz w:val="16"/>
                <w:szCs w:val="16"/>
              </w:rPr>
            </w:pPr>
            <w:r w:rsidRPr="00883E07">
              <w:rPr>
                <w:rFonts w:asciiTheme="majorHAnsi" w:hAnsiTheme="majorHAnsi" w:cs="Arial"/>
                <w:b w:val="0"/>
                <w:sz w:val="16"/>
                <w:szCs w:val="16"/>
              </w:rPr>
              <w:t>Establece el diseño del Plan Nacional de Desarrollo Acuícola</w:t>
            </w:r>
          </w:p>
          <w:p w:rsidR="00642250" w:rsidRPr="00883E07" w:rsidRDefault="00642250" w:rsidP="00642250">
            <w:pPr>
              <w:pStyle w:val="Prrafodelista"/>
              <w:numPr>
                <w:ilvl w:val="0"/>
                <w:numId w:val="17"/>
              </w:numPr>
              <w:autoSpaceDE w:val="0"/>
              <w:autoSpaceDN w:val="0"/>
              <w:adjustRightInd w:val="0"/>
              <w:ind w:left="142" w:hanging="142"/>
              <w:rPr>
                <w:rFonts w:asciiTheme="majorHAnsi" w:hAnsiTheme="majorHAnsi" w:cs="Arial"/>
                <w:b w:val="0"/>
                <w:sz w:val="16"/>
                <w:szCs w:val="16"/>
              </w:rPr>
            </w:pPr>
            <w:r w:rsidRPr="00883E07">
              <w:rPr>
                <w:rFonts w:asciiTheme="majorHAnsi" w:hAnsiTheme="majorHAnsi" w:cs="Arial"/>
                <w:b w:val="0"/>
                <w:sz w:val="16"/>
                <w:szCs w:val="16"/>
              </w:rPr>
              <w:t>Establece un régimen igual al de la actividad agraria</w:t>
            </w:r>
          </w:p>
        </w:tc>
        <w:tc>
          <w:tcPr>
            <w:tcW w:w="2960" w:type="dxa"/>
          </w:tcPr>
          <w:p w:rsidR="00642250" w:rsidRPr="00883E07" w:rsidRDefault="00642250" w:rsidP="00642250">
            <w:pPr>
              <w:pStyle w:val="Prrafodelista"/>
              <w:numPr>
                <w:ilvl w:val="0"/>
                <w:numId w:val="17"/>
              </w:numPr>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83E07">
              <w:rPr>
                <w:rFonts w:asciiTheme="majorHAnsi" w:hAnsiTheme="majorHAnsi" w:cs="Arial"/>
                <w:sz w:val="16"/>
                <w:szCs w:val="16"/>
              </w:rPr>
              <w:lastRenderedPageBreak/>
              <w:t>Establece un régimen laboral similar al de la agricultura</w:t>
            </w:r>
          </w:p>
          <w:p w:rsidR="00642250" w:rsidRPr="00883E07" w:rsidRDefault="00642250" w:rsidP="00642250">
            <w:pPr>
              <w:pStyle w:val="Prrafodelista"/>
              <w:numPr>
                <w:ilvl w:val="0"/>
                <w:numId w:val="17"/>
              </w:numPr>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83E07">
              <w:rPr>
                <w:rFonts w:asciiTheme="majorHAnsi" w:hAnsiTheme="majorHAnsi" w:cs="Arial"/>
                <w:sz w:val="16"/>
                <w:szCs w:val="16"/>
              </w:rPr>
              <w:t xml:space="preserve">Considera a los acuicultores como productores rurales con derecho a los beneficios de la política agraria </w:t>
            </w:r>
            <w:r w:rsidRPr="00883E07">
              <w:rPr>
                <w:rFonts w:asciiTheme="majorHAnsi" w:hAnsiTheme="majorHAnsi" w:cs="Arial"/>
                <w:sz w:val="16"/>
                <w:szCs w:val="16"/>
              </w:rPr>
              <w:lastRenderedPageBreak/>
              <w:t>(créditos rurales)</w:t>
            </w:r>
          </w:p>
          <w:p w:rsidR="00642250" w:rsidRPr="00883E07" w:rsidRDefault="00642250" w:rsidP="00642250">
            <w:pPr>
              <w:pStyle w:val="Prrafodelista"/>
              <w:numPr>
                <w:ilvl w:val="0"/>
                <w:numId w:val="17"/>
              </w:numPr>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83E07">
              <w:rPr>
                <w:rFonts w:asciiTheme="majorHAnsi" w:hAnsiTheme="majorHAnsi" w:cs="Arial"/>
                <w:sz w:val="16"/>
                <w:szCs w:val="16"/>
              </w:rPr>
              <w:t>Establece la política para el desarrollo sostenible de la acuicultura y la pesca</w:t>
            </w:r>
          </w:p>
          <w:p w:rsidR="00642250" w:rsidRPr="00883E07" w:rsidRDefault="00642250" w:rsidP="0064225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p w:rsidR="00642250" w:rsidRPr="00883E07" w:rsidRDefault="00642250" w:rsidP="00642250">
            <w:pPr>
              <w:pStyle w:val="Prrafodelista"/>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2882" w:type="dxa"/>
          </w:tcPr>
          <w:p w:rsidR="00642250" w:rsidRPr="00883E07" w:rsidRDefault="00642250" w:rsidP="00642250">
            <w:pPr>
              <w:pStyle w:val="Prrafodelista"/>
              <w:numPr>
                <w:ilvl w:val="0"/>
                <w:numId w:val="17"/>
              </w:numPr>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83E07">
              <w:rPr>
                <w:rFonts w:asciiTheme="majorHAnsi" w:hAnsiTheme="majorHAnsi" w:cs="Arial"/>
                <w:sz w:val="16"/>
                <w:szCs w:val="16"/>
              </w:rPr>
              <w:lastRenderedPageBreak/>
              <w:t>Define el tiempo del otorgamiento de Concesiones siendo este de 25 años Ley N°20.434,  renovables desde el 2010 (Ley N° 18.892).</w:t>
            </w:r>
          </w:p>
          <w:p w:rsidR="00642250" w:rsidRPr="00883E07" w:rsidRDefault="00642250" w:rsidP="00642250">
            <w:pPr>
              <w:pStyle w:val="Prrafodelista"/>
              <w:numPr>
                <w:ilvl w:val="0"/>
                <w:numId w:val="17"/>
              </w:numPr>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83E07">
              <w:rPr>
                <w:rFonts w:asciiTheme="majorHAnsi" w:hAnsiTheme="majorHAnsi" w:cs="Arial"/>
                <w:sz w:val="16"/>
                <w:szCs w:val="16"/>
              </w:rPr>
              <w:t xml:space="preserve"> Se pueden constituir hipotecas  </w:t>
            </w:r>
            <w:r w:rsidRPr="00883E07">
              <w:rPr>
                <w:rFonts w:asciiTheme="majorHAnsi" w:hAnsiTheme="majorHAnsi" w:cs="Arial"/>
                <w:sz w:val="16"/>
                <w:szCs w:val="16"/>
              </w:rPr>
              <w:lastRenderedPageBreak/>
              <w:t>sobre la concesión o autorización acuícolas.</w:t>
            </w:r>
          </w:p>
          <w:p w:rsidR="00642250" w:rsidRPr="00883E07" w:rsidRDefault="00642250" w:rsidP="00642250">
            <w:pPr>
              <w:pStyle w:val="Prrafodelista"/>
              <w:numPr>
                <w:ilvl w:val="0"/>
                <w:numId w:val="17"/>
              </w:numPr>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83E07">
              <w:rPr>
                <w:rFonts w:asciiTheme="majorHAnsi" w:hAnsiTheme="majorHAnsi" w:cs="Arial"/>
                <w:sz w:val="16"/>
                <w:szCs w:val="16"/>
              </w:rPr>
              <w:t xml:space="preserve"> Es transferible y transmisible (Se permite compra/venta de concesiones)</w:t>
            </w:r>
          </w:p>
          <w:p w:rsidR="00642250" w:rsidRPr="00883E07" w:rsidRDefault="00642250" w:rsidP="00642250">
            <w:pPr>
              <w:pStyle w:val="Prrafodelista"/>
              <w:numPr>
                <w:ilvl w:val="0"/>
                <w:numId w:val="17"/>
              </w:numPr>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883E07">
              <w:rPr>
                <w:rFonts w:asciiTheme="majorHAnsi" w:hAnsiTheme="majorHAnsi" w:cs="Arial"/>
                <w:sz w:val="16"/>
                <w:szCs w:val="16"/>
              </w:rPr>
              <w:t xml:space="preserve"> En las concesiones de acuicultura se permite obras materiales, infraestructura, muelles, etc.</w:t>
            </w:r>
          </w:p>
          <w:p w:rsidR="00642250" w:rsidRPr="00883E07" w:rsidRDefault="00642250" w:rsidP="00DB43D6">
            <w:pPr>
              <w:pStyle w:val="Prrafodelista"/>
              <w:numPr>
                <w:ilvl w:val="0"/>
                <w:numId w:val="17"/>
              </w:numPr>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16"/>
                <w:szCs w:val="16"/>
              </w:rPr>
            </w:pPr>
            <w:r w:rsidRPr="00883E07">
              <w:rPr>
                <w:rFonts w:asciiTheme="majorHAnsi" w:hAnsiTheme="majorHAnsi" w:cs="Arial"/>
                <w:sz w:val="16"/>
                <w:szCs w:val="16"/>
              </w:rPr>
              <w:t>No se establecen incentivos tributarios puesto que casi todos los actores privados, son industriales</w:t>
            </w:r>
          </w:p>
        </w:tc>
      </w:tr>
    </w:tbl>
    <w:p w:rsidR="00642250" w:rsidRPr="00883E07" w:rsidRDefault="00642250" w:rsidP="00642250">
      <w:pPr>
        <w:pStyle w:val="Prrafodelista"/>
        <w:autoSpaceDE w:val="0"/>
        <w:autoSpaceDN w:val="0"/>
        <w:adjustRightInd w:val="0"/>
        <w:ind w:left="567"/>
        <w:rPr>
          <w:rFonts w:asciiTheme="majorHAnsi" w:hAnsiTheme="majorHAnsi" w:cs="Arial"/>
          <w:b/>
        </w:rPr>
      </w:pPr>
    </w:p>
    <w:p w:rsidR="005A2313" w:rsidRPr="00883E07" w:rsidRDefault="005A2313" w:rsidP="005A2313">
      <w:pPr>
        <w:pStyle w:val="Default"/>
        <w:spacing w:before="100" w:after="100" w:line="288" w:lineRule="auto"/>
        <w:jc w:val="both"/>
        <w:rPr>
          <w:rFonts w:asciiTheme="majorHAnsi" w:hAnsiTheme="majorHAnsi" w:cs="Arial"/>
          <w:sz w:val="16"/>
          <w:szCs w:val="16"/>
        </w:rPr>
      </w:pPr>
      <w:r w:rsidRPr="00883E07">
        <w:rPr>
          <w:rFonts w:asciiTheme="majorHAnsi" w:hAnsiTheme="majorHAnsi" w:cs="Arial"/>
          <w:sz w:val="16"/>
          <w:szCs w:val="16"/>
        </w:rPr>
        <w:t>Fuente: DIAC-DGCHD</w:t>
      </w:r>
    </w:p>
    <w:p w:rsidR="005A2313" w:rsidRPr="00883E07" w:rsidRDefault="005A2313" w:rsidP="00195199">
      <w:pPr>
        <w:autoSpaceDE w:val="0"/>
        <w:autoSpaceDN w:val="0"/>
        <w:adjustRightInd w:val="0"/>
        <w:jc w:val="both"/>
        <w:rPr>
          <w:rFonts w:asciiTheme="majorHAnsi" w:hAnsiTheme="majorHAnsi" w:cs="Arial"/>
          <w:b/>
          <w:sz w:val="22"/>
          <w:u w:val="single"/>
        </w:rPr>
      </w:pPr>
    </w:p>
    <w:p w:rsidR="00195199" w:rsidRPr="00883E07" w:rsidRDefault="00195199" w:rsidP="00195199">
      <w:pPr>
        <w:autoSpaceDE w:val="0"/>
        <w:autoSpaceDN w:val="0"/>
        <w:adjustRightInd w:val="0"/>
        <w:jc w:val="both"/>
        <w:rPr>
          <w:rFonts w:asciiTheme="majorHAnsi" w:hAnsiTheme="majorHAnsi" w:cs="Arial"/>
          <w:b/>
          <w:sz w:val="22"/>
          <w:u w:val="single"/>
        </w:rPr>
      </w:pPr>
      <w:r w:rsidRPr="00883E07">
        <w:rPr>
          <w:rFonts w:asciiTheme="majorHAnsi" w:hAnsiTheme="majorHAnsi" w:cs="Arial"/>
          <w:b/>
          <w:sz w:val="22"/>
          <w:u w:val="single"/>
        </w:rPr>
        <w:t>Estructuras Organizativas en Pesca y Acuicultura en Sudamérica</w:t>
      </w:r>
    </w:p>
    <w:p w:rsidR="00195199" w:rsidRPr="00883E07" w:rsidRDefault="00195199" w:rsidP="00195199">
      <w:pPr>
        <w:autoSpaceDE w:val="0"/>
        <w:autoSpaceDN w:val="0"/>
        <w:adjustRightInd w:val="0"/>
        <w:jc w:val="both"/>
        <w:rPr>
          <w:rFonts w:asciiTheme="majorHAnsi" w:hAnsiTheme="majorHAnsi" w:cs="Arial"/>
          <w:sz w:val="22"/>
          <w:lang w:val="es-PE"/>
        </w:rPr>
      </w:pPr>
    </w:p>
    <w:p w:rsidR="00195199" w:rsidRPr="00883E07" w:rsidRDefault="00195199" w:rsidP="00195199">
      <w:pPr>
        <w:autoSpaceDE w:val="0"/>
        <w:autoSpaceDN w:val="0"/>
        <w:adjustRightInd w:val="0"/>
        <w:jc w:val="both"/>
        <w:rPr>
          <w:rFonts w:asciiTheme="majorHAnsi" w:hAnsiTheme="majorHAnsi" w:cs="Arial"/>
          <w:sz w:val="22"/>
        </w:rPr>
      </w:pPr>
      <w:r w:rsidRPr="00883E07">
        <w:rPr>
          <w:rFonts w:asciiTheme="majorHAnsi" w:hAnsiTheme="majorHAnsi" w:cs="Arial"/>
          <w:sz w:val="22"/>
        </w:rPr>
        <w:t>En Sudamérica, países como de Brasil, Chile y Ecuador, los cuales son importantes actores que participan activamente en el desarrollo de la pesca y acuicultura regional, cuentan con estructuras organizacionales que diferencian la actividad de la pesca extractiva (artesanal e industrial) y la acuicultura. Esta diferenciación les permite focalizar a la población objetivo que atiende, organizar el desarrollo de ambas actividades, atender necesidades específicas de las mismas, y les permiten impulsar especialmente el desarrollo de la acuicultura.</w:t>
      </w:r>
    </w:p>
    <w:p w:rsidR="00195199" w:rsidRPr="00883E07" w:rsidRDefault="00195199" w:rsidP="00195199">
      <w:pPr>
        <w:autoSpaceDE w:val="0"/>
        <w:autoSpaceDN w:val="0"/>
        <w:adjustRightInd w:val="0"/>
        <w:jc w:val="both"/>
        <w:rPr>
          <w:rFonts w:asciiTheme="majorHAnsi" w:hAnsiTheme="majorHAnsi" w:cs="Arial"/>
          <w:sz w:val="22"/>
        </w:rPr>
      </w:pPr>
    </w:p>
    <w:p w:rsidR="00195199" w:rsidRPr="00883E07" w:rsidRDefault="00195199" w:rsidP="00195199">
      <w:pPr>
        <w:autoSpaceDE w:val="0"/>
        <w:autoSpaceDN w:val="0"/>
        <w:adjustRightInd w:val="0"/>
        <w:jc w:val="both"/>
        <w:rPr>
          <w:rFonts w:asciiTheme="majorHAnsi" w:hAnsiTheme="majorHAnsi" w:cs="Arial"/>
          <w:sz w:val="22"/>
        </w:rPr>
      </w:pPr>
      <w:r w:rsidRPr="00883E07">
        <w:rPr>
          <w:rFonts w:asciiTheme="majorHAnsi" w:hAnsiTheme="majorHAnsi" w:cs="Arial"/>
          <w:sz w:val="22"/>
        </w:rPr>
        <w:t>Brasil, con el propósito de impulsar la pesca y la acuicultura instauró el Ministerio de Pesca y Acuicultura, el cual en su estructura organizativa diferencia el ordenamiento y planeamiento de la acuicultura del ordenamiento y planeamiento del pesquero, ello le está permitiendo organizar e impulsar especialmente la actividad acuícola como fuente de empleo e ingresos y su particular contribución con la seguridad alimentaria, además la diferenciación entre pesca y acuicultura les permite agilizar la gestión para la acuicultura contribuyendo con su crecimiento.</w:t>
      </w:r>
    </w:p>
    <w:p w:rsidR="00195199" w:rsidRPr="00883E07" w:rsidRDefault="00195199" w:rsidP="00195199">
      <w:pPr>
        <w:autoSpaceDE w:val="0"/>
        <w:autoSpaceDN w:val="0"/>
        <w:adjustRightInd w:val="0"/>
        <w:jc w:val="both"/>
        <w:rPr>
          <w:rFonts w:asciiTheme="majorHAnsi" w:hAnsiTheme="majorHAnsi" w:cs="Arial"/>
          <w:sz w:val="22"/>
        </w:rPr>
      </w:pPr>
    </w:p>
    <w:p w:rsidR="00195199" w:rsidRPr="00883E07" w:rsidRDefault="00195199" w:rsidP="00195199">
      <w:pPr>
        <w:autoSpaceDE w:val="0"/>
        <w:autoSpaceDN w:val="0"/>
        <w:adjustRightInd w:val="0"/>
        <w:jc w:val="both"/>
        <w:rPr>
          <w:rFonts w:asciiTheme="majorHAnsi" w:hAnsiTheme="majorHAnsi" w:cs="Arial"/>
          <w:sz w:val="22"/>
        </w:rPr>
      </w:pPr>
      <w:r w:rsidRPr="00883E07">
        <w:rPr>
          <w:rFonts w:asciiTheme="majorHAnsi" w:hAnsiTheme="majorHAnsi" w:cs="Arial"/>
          <w:sz w:val="22"/>
        </w:rPr>
        <w:t xml:space="preserve">En Chile, se tiene al Ministerio Economía, Fomento y Turismo, el cual cuenta con la Subsecretaría de Pesca y Acuicultura </w:t>
      </w:r>
      <w:hyperlink r:id="rId20" w:history="1"/>
      <w:r w:rsidRPr="00883E07">
        <w:rPr>
          <w:rFonts w:asciiTheme="majorHAnsi" w:hAnsiTheme="majorHAnsi" w:cs="Arial"/>
          <w:sz w:val="22"/>
        </w:rPr>
        <w:t xml:space="preserve"> (equivalente al Viceministerio de Pesquería) la cual es la responsable de la pesca y acuicultura chilena, la estructura organizacional de la referida Subsecretaria también le brinda un trato diferenciado a la pesca y a la acuicultura; tal es así que, entre las unidades orgánicas de línea tiene a la División de Administración Pesquera, la División de Desarrollo Pesquero y la División de Acuicultura (equivalentes a las Direcciones Generales del PRODUCE), ésta última cuenta con unidades que se dedican a los temas de ordenamiento, trámites, gestión y políticas, asuntos ambientales, asuntos sanitarios y depende directamente de la Subsecretaría de Pesca, brindándole un nivel de decisión importante y de rápida acción en los temas de su competencia. Dicha estructura ha permitido que la acuicultura tenga un desarrollo importante en dicho país.</w:t>
      </w:r>
    </w:p>
    <w:p w:rsidR="00195199" w:rsidRPr="00883E07" w:rsidRDefault="00195199" w:rsidP="00195199">
      <w:pPr>
        <w:autoSpaceDE w:val="0"/>
        <w:autoSpaceDN w:val="0"/>
        <w:adjustRightInd w:val="0"/>
        <w:jc w:val="both"/>
        <w:rPr>
          <w:rFonts w:asciiTheme="majorHAnsi" w:hAnsiTheme="majorHAnsi" w:cs="Arial"/>
          <w:sz w:val="22"/>
        </w:rPr>
      </w:pPr>
    </w:p>
    <w:p w:rsidR="00195199" w:rsidRPr="00883E07" w:rsidRDefault="00195199" w:rsidP="00195199">
      <w:pPr>
        <w:autoSpaceDE w:val="0"/>
        <w:autoSpaceDN w:val="0"/>
        <w:adjustRightInd w:val="0"/>
        <w:jc w:val="both"/>
        <w:rPr>
          <w:rFonts w:asciiTheme="majorHAnsi" w:hAnsiTheme="majorHAnsi" w:cs="Arial"/>
          <w:sz w:val="22"/>
        </w:rPr>
      </w:pPr>
      <w:r w:rsidRPr="00883E07">
        <w:rPr>
          <w:rFonts w:asciiTheme="majorHAnsi" w:hAnsiTheme="majorHAnsi" w:cs="Arial"/>
          <w:sz w:val="22"/>
        </w:rPr>
        <w:t>En Ecuador, existe el Ministerio de Agricultura, Ganadería, Acuacultura y Pesca,  este cuenta con el Viceministerio de Acuacultura y Pesca el cual a su vez tiene dos Subsecretarías especializadas un de Acuacultura y otra de Pesca (equivalentes a Direcciones Generales), esta última enfocada a la pesca industrial y artesanal; respecto a la Subsecretaría de Acuacultura se debe indicar que esta cuenta con direcciones dedicadas a los temas de políticas y ordenamiento, gestión y control acuícola.</w:t>
      </w:r>
    </w:p>
    <w:p w:rsidR="00195199" w:rsidRPr="00883E07" w:rsidRDefault="00195199" w:rsidP="00195199">
      <w:pPr>
        <w:autoSpaceDE w:val="0"/>
        <w:autoSpaceDN w:val="0"/>
        <w:adjustRightInd w:val="0"/>
        <w:jc w:val="both"/>
        <w:rPr>
          <w:rFonts w:asciiTheme="majorHAnsi" w:hAnsiTheme="majorHAnsi" w:cs="Arial"/>
          <w:sz w:val="22"/>
        </w:rPr>
      </w:pPr>
    </w:p>
    <w:p w:rsidR="00195199" w:rsidRPr="00883E07" w:rsidRDefault="00195199" w:rsidP="00195199">
      <w:pPr>
        <w:autoSpaceDE w:val="0"/>
        <w:autoSpaceDN w:val="0"/>
        <w:adjustRightInd w:val="0"/>
        <w:jc w:val="both"/>
        <w:rPr>
          <w:rFonts w:asciiTheme="majorHAnsi" w:hAnsiTheme="majorHAnsi" w:cs="Arial"/>
          <w:sz w:val="22"/>
        </w:rPr>
      </w:pPr>
      <w:r w:rsidRPr="00883E07">
        <w:rPr>
          <w:rFonts w:asciiTheme="majorHAnsi" w:hAnsiTheme="majorHAnsi" w:cs="Arial"/>
          <w:sz w:val="22"/>
        </w:rPr>
        <w:t xml:space="preserve">La tendencia natural en los países de América Latina y el Caribe, es mejorar las estructuras organizacionales diferenciando las actividades de la pesca y de la acuicultura definiendo sus propios procesos por separado, en el entendimiento que por parte de la pesca extractiva se busca la adecuada administración, manejo y regulación de los recursos pesqueros de manera sostenible y por el otro lado, respecto a la acuicultura se busca su </w:t>
      </w:r>
      <w:r w:rsidRPr="00883E07">
        <w:rPr>
          <w:rFonts w:asciiTheme="majorHAnsi" w:hAnsiTheme="majorHAnsi" w:cs="Arial"/>
          <w:sz w:val="22"/>
        </w:rPr>
        <w:lastRenderedPageBreak/>
        <w:t>expansión y desarrollo como la mejor alternativa de producción de alimentos de alta calidad, generadora de empleo e ingresos y como actividad que contribuye con la seguridad alimentaria de la población; siendo esta actividad ligada al cultivo de especies hidrobiológicas cuyo proceso de desarrollo dista mucho de la extracción o actividades de pesca ya sea artesanal e industrial.</w:t>
      </w:r>
    </w:p>
    <w:p w:rsidR="00195199" w:rsidRPr="00883E07" w:rsidRDefault="00195199" w:rsidP="00195199">
      <w:pPr>
        <w:autoSpaceDE w:val="0"/>
        <w:autoSpaceDN w:val="0"/>
        <w:adjustRightInd w:val="0"/>
        <w:jc w:val="both"/>
        <w:rPr>
          <w:rFonts w:asciiTheme="majorHAnsi" w:hAnsiTheme="majorHAnsi" w:cs="Arial"/>
          <w:sz w:val="22"/>
        </w:rPr>
      </w:pPr>
    </w:p>
    <w:p w:rsidR="00195199" w:rsidRPr="00883E07" w:rsidRDefault="00195199" w:rsidP="00195199">
      <w:pPr>
        <w:autoSpaceDE w:val="0"/>
        <w:autoSpaceDN w:val="0"/>
        <w:adjustRightInd w:val="0"/>
        <w:jc w:val="both"/>
        <w:rPr>
          <w:rFonts w:asciiTheme="majorHAnsi" w:hAnsiTheme="majorHAnsi" w:cs="Arial"/>
          <w:sz w:val="22"/>
        </w:rPr>
      </w:pPr>
      <w:r w:rsidRPr="00883E07">
        <w:rPr>
          <w:rFonts w:asciiTheme="majorHAnsi" w:hAnsiTheme="majorHAnsi" w:cs="Arial"/>
          <w:sz w:val="22"/>
        </w:rPr>
        <w:t xml:space="preserve">Se ha considerado en el presente proyecto de Ley la modificación de </w:t>
      </w:r>
      <w:r w:rsidRPr="00883E07">
        <w:rPr>
          <w:rFonts w:asciiTheme="majorHAnsi" w:hAnsiTheme="majorHAnsi" w:cs="Arial"/>
          <w:sz w:val="22"/>
          <w:lang w:val="es-PE"/>
        </w:rPr>
        <w:t xml:space="preserve">la denominación de Viceministerio de Pesquería establecida en artículo 9º del Decreto Legislativo Nº 1047, por la de Viceministerio de Pesca y de Acuicultura, a fin de estar acorde con las estructura de los países vecinos y mantener las </w:t>
      </w:r>
      <w:r w:rsidRPr="00883E07">
        <w:rPr>
          <w:rFonts w:asciiTheme="majorHAnsi" w:hAnsiTheme="majorHAnsi" w:cs="Arial"/>
          <w:sz w:val="22"/>
        </w:rPr>
        <w:t>distribuciones organizacionales que diferencian la actividad de la pesca extractiva (artesanal e industrial) y la acuicultura.</w:t>
      </w:r>
    </w:p>
    <w:p w:rsidR="00195199" w:rsidRPr="00883E07" w:rsidRDefault="00195199" w:rsidP="003B0DEE">
      <w:pPr>
        <w:autoSpaceDE w:val="0"/>
        <w:autoSpaceDN w:val="0"/>
        <w:adjustRightInd w:val="0"/>
        <w:rPr>
          <w:rFonts w:asciiTheme="majorHAnsi" w:hAnsiTheme="majorHAnsi" w:cs="Arial"/>
          <w:b/>
          <w:sz w:val="22"/>
          <w:u w:val="single"/>
        </w:rPr>
      </w:pPr>
    </w:p>
    <w:p w:rsidR="00642250" w:rsidRPr="00883E07" w:rsidRDefault="00642250" w:rsidP="004A5C5D">
      <w:pPr>
        <w:autoSpaceDE w:val="0"/>
        <w:autoSpaceDN w:val="0"/>
        <w:adjustRightInd w:val="0"/>
        <w:jc w:val="both"/>
        <w:rPr>
          <w:rFonts w:asciiTheme="majorHAnsi" w:hAnsiTheme="majorHAnsi" w:cs="Arial"/>
          <w:b/>
          <w:sz w:val="22"/>
          <w:u w:val="single"/>
        </w:rPr>
      </w:pPr>
      <w:r w:rsidRPr="00883E07">
        <w:rPr>
          <w:rFonts w:asciiTheme="majorHAnsi" w:hAnsiTheme="majorHAnsi" w:cs="Arial"/>
          <w:b/>
          <w:sz w:val="22"/>
          <w:u w:val="single"/>
        </w:rPr>
        <w:t xml:space="preserve">Principales acciones emprendidas </w:t>
      </w:r>
      <w:r w:rsidR="004A5C5D" w:rsidRPr="00883E07">
        <w:rPr>
          <w:rFonts w:asciiTheme="majorHAnsi" w:hAnsiTheme="majorHAnsi" w:cs="Arial"/>
          <w:b/>
          <w:sz w:val="22"/>
          <w:u w:val="single"/>
        </w:rPr>
        <w:t xml:space="preserve">por el Sector </w:t>
      </w:r>
      <w:r w:rsidRPr="00883E07">
        <w:rPr>
          <w:rFonts w:asciiTheme="majorHAnsi" w:hAnsiTheme="majorHAnsi" w:cs="Arial"/>
          <w:b/>
          <w:sz w:val="22"/>
          <w:u w:val="single"/>
        </w:rPr>
        <w:t xml:space="preserve">en el marco del </w:t>
      </w:r>
      <w:r w:rsidR="00DF00AA" w:rsidRPr="00883E07">
        <w:rPr>
          <w:rFonts w:asciiTheme="majorHAnsi" w:hAnsiTheme="majorHAnsi" w:cs="Arial"/>
          <w:b/>
          <w:sz w:val="22"/>
          <w:u w:val="single"/>
        </w:rPr>
        <w:t>Plan Nacional de Desarrollo Acuícola 2010 - 2021</w:t>
      </w:r>
    </w:p>
    <w:p w:rsidR="00642250" w:rsidRPr="00883E07" w:rsidRDefault="00642250" w:rsidP="00642250">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Sobre la base de las normas de acuicultura y el </w:t>
      </w:r>
      <w:r w:rsidR="008977E5" w:rsidRPr="00883E07">
        <w:rPr>
          <w:rFonts w:asciiTheme="majorHAnsi" w:hAnsiTheme="majorHAnsi" w:cs="Arial"/>
          <w:sz w:val="22"/>
          <w:szCs w:val="22"/>
        </w:rPr>
        <w:t xml:space="preserve">propio </w:t>
      </w:r>
      <w:r w:rsidRPr="00883E07">
        <w:rPr>
          <w:rFonts w:asciiTheme="majorHAnsi" w:hAnsiTheme="majorHAnsi" w:cs="Arial"/>
          <w:sz w:val="22"/>
          <w:szCs w:val="22"/>
        </w:rPr>
        <w:t>desempeño de la misma, se han venido desarrollando diversas acciones para fortalecer la actividad. A continuación se presentan las principales acciones realizadas y que tienen impacto en el desarrollo de la acuicultura.</w:t>
      </w:r>
    </w:p>
    <w:p w:rsidR="00642250" w:rsidRPr="00883E07" w:rsidRDefault="00642250"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Elaboración y aprobación del Plan Nacional de Desarrollo Acuícola como política sectorial para el desarrollo de la acuicultura peruana</w:t>
      </w:r>
    </w:p>
    <w:p w:rsidR="00642250" w:rsidRPr="00883E07" w:rsidRDefault="00642250"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Elaboración y aprobación del Programa Nacional de Ciencia, Desarrollo Tecnológico e Innovación en Acuicultura</w:t>
      </w:r>
    </w:p>
    <w:p w:rsidR="00642250" w:rsidRPr="00883E07" w:rsidRDefault="000B7F18"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Desarrollo de a</w:t>
      </w:r>
      <w:r w:rsidR="00642250" w:rsidRPr="00883E07">
        <w:rPr>
          <w:rFonts w:asciiTheme="majorHAnsi" w:hAnsiTheme="majorHAnsi" w:cs="Arial"/>
        </w:rPr>
        <w:t xml:space="preserve">cciones de </w:t>
      </w:r>
      <w:proofErr w:type="spellStart"/>
      <w:r w:rsidR="00642250" w:rsidRPr="00883E07">
        <w:rPr>
          <w:rFonts w:asciiTheme="majorHAnsi" w:hAnsiTheme="majorHAnsi" w:cs="Arial"/>
        </w:rPr>
        <w:t>extensionismo</w:t>
      </w:r>
      <w:proofErr w:type="spellEnd"/>
      <w:r w:rsidR="00642250" w:rsidRPr="00883E07">
        <w:rPr>
          <w:rFonts w:asciiTheme="majorHAnsi" w:hAnsiTheme="majorHAnsi" w:cs="Arial"/>
        </w:rPr>
        <w:t xml:space="preserve"> acuícola como modelo educativo focalizado y planificado que asegura la adaptación de conocimientos</w:t>
      </w:r>
    </w:p>
    <w:p w:rsidR="00642250" w:rsidRPr="00883E07" w:rsidRDefault="00642250"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Estudios de mercado para apoyar el crecimiento del mercado interno de la acuicultura</w:t>
      </w:r>
    </w:p>
    <w:p w:rsidR="00642250" w:rsidRPr="00883E07" w:rsidRDefault="00642250"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Elaboración de Normas Técnicas Peruanas de Acuicultura con INDECOPI para mejorar los cultivos acuícolas para fortalecer la competitividad</w:t>
      </w:r>
    </w:p>
    <w:p w:rsidR="00642250" w:rsidRPr="00883E07" w:rsidRDefault="00642250"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Implementar el Catastro Acuícola Nacional como herramienta virtual para el ordenamiento y promoción de la acuicultura peruana</w:t>
      </w:r>
    </w:p>
    <w:p w:rsidR="00642250" w:rsidRPr="00883E07" w:rsidRDefault="00642250"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Implementación de la Red Nacional de Información Acuícola como plataforma virtual que brinda información en los diferentes aspectos que contempla la acuicultura promoviendo la gestión del conocimiento, la inversión y cooperación nacional entre instituciones del sector público y privado.</w:t>
      </w:r>
    </w:p>
    <w:p w:rsidR="00642250" w:rsidRPr="00883E07" w:rsidRDefault="00642250"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Acciones de repoblamiento para contribuir con la disposición de alimento a poblaciones de escasos recursos</w:t>
      </w:r>
    </w:p>
    <w:p w:rsidR="00642250" w:rsidRPr="00883E07" w:rsidRDefault="00642250"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Impulsar y asesorar en la formulación de los Planes Regionales de Acuicultura a los Gobiernos Regionales a nivel nacional</w:t>
      </w:r>
    </w:p>
    <w:p w:rsidR="00642250" w:rsidRPr="00883E07" w:rsidRDefault="00642250"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Elabora reglamentos para el ordenamiento pesquero y Acuícola enfocados en dos zonas importantes de producción, la primera la Cuenca del Lago Titicaca en Puno y la Bahía de Sechura en Piura</w:t>
      </w:r>
    </w:p>
    <w:p w:rsidR="00642250" w:rsidRPr="00883E07" w:rsidRDefault="00642250" w:rsidP="00A17BD8">
      <w:pPr>
        <w:pStyle w:val="Prrafodelista"/>
        <w:numPr>
          <w:ilvl w:val="0"/>
          <w:numId w:val="17"/>
        </w:numPr>
        <w:autoSpaceDE w:val="0"/>
        <w:autoSpaceDN w:val="0"/>
        <w:adjustRightInd w:val="0"/>
        <w:ind w:left="714" w:hanging="357"/>
        <w:jc w:val="both"/>
        <w:rPr>
          <w:rFonts w:asciiTheme="majorHAnsi" w:hAnsiTheme="majorHAnsi" w:cs="Arial"/>
        </w:rPr>
      </w:pPr>
      <w:r w:rsidRPr="00883E07">
        <w:rPr>
          <w:rFonts w:asciiTheme="majorHAnsi" w:hAnsiTheme="majorHAnsi" w:cs="Arial"/>
        </w:rPr>
        <w:t>Creación de la Ventanilla Única de Acuicultura para la facilitación administrativa de la acuicultura de mayor escala.</w:t>
      </w:r>
    </w:p>
    <w:p w:rsidR="00642250" w:rsidRPr="00883E07" w:rsidRDefault="00642250" w:rsidP="00642250">
      <w:pPr>
        <w:pStyle w:val="Prrafodelista"/>
        <w:autoSpaceDE w:val="0"/>
        <w:autoSpaceDN w:val="0"/>
        <w:adjustRightInd w:val="0"/>
        <w:ind w:left="567"/>
        <w:rPr>
          <w:rFonts w:asciiTheme="majorHAnsi" w:hAnsiTheme="majorHAnsi" w:cs="Arial"/>
          <w:b/>
        </w:rPr>
      </w:pPr>
    </w:p>
    <w:p w:rsidR="00642250" w:rsidRPr="00883E07" w:rsidRDefault="00DF00AA" w:rsidP="00642250">
      <w:pPr>
        <w:pStyle w:val="Default"/>
        <w:spacing w:before="100" w:after="100" w:line="288" w:lineRule="auto"/>
        <w:ind w:left="425" w:hanging="425"/>
        <w:jc w:val="both"/>
        <w:rPr>
          <w:rFonts w:asciiTheme="majorHAnsi" w:hAnsiTheme="majorHAnsi" w:cs="Arial"/>
          <w:b/>
          <w:bCs/>
          <w:color w:val="auto"/>
          <w:sz w:val="22"/>
          <w:szCs w:val="22"/>
          <w:u w:val="single"/>
        </w:rPr>
      </w:pPr>
      <w:r w:rsidRPr="00883E07">
        <w:rPr>
          <w:rFonts w:asciiTheme="majorHAnsi" w:hAnsiTheme="majorHAnsi" w:cs="Arial"/>
          <w:b/>
          <w:bCs/>
          <w:color w:val="auto"/>
          <w:sz w:val="22"/>
          <w:szCs w:val="22"/>
          <w:u w:val="single"/>
        </w:rPr>
        <w:t>La ciencia, desarrollo tecnológico e innovación en acuicultura</w:t>
      </w:r>
    </w:p>
    <w:p w:rsidR="00642250" w:rsidRPr="00883E07" w:rsidRDefault="00642250" w:rsidP="00642250">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Para que la acuicultura tenga éxito en la Región se ha visto que países como Chile, Brasil Ecuador, México y Colombia, sientan las bases tecnológicas en instituciones públicas y público-privadas dedicados de manera exclusiva a la investigación, desarrollo tecnológico e innovación en acuicultura, contribuyendo con el fortalecimiento de las cadenas </w:t>
      </w:r>
      <w:r w:rsidRPr="00883E07">
        <w:rPr>
          <w:rFonts w:asciiTheme="majorHAnsi" w:hAnsiTheme="majorHAnsi" w:cs="Arial"/>
          <w:sz w:val="22"/>
          <w:szCs w:val="22"/>
        </w:rPr>
        <w:lastRenderedPageBreak/>
        <w:t>productivas y procurando el desarrollo de nuevos cultivos acuícolas con miras a la diversificación, esto les permite ser importantes países de acuicultura en la Región.</w:t>
      </w:r>
    </w:p>
    <w:p w:rsidR="00642250" w:rsidRPr="00883E07" w:rsidRDefault="00642250" w:rsidP="00642250">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Tal es así que </w:t>
      </w:r>
      <w:r w:rsidRPr="00883E07">
        <w:rPr>
          <w:rFonts w:asciiTheme="majorHAnsi" w:hAnsiTheme="majorHAnsi" w:cs="Arial"/>
          <w:b/>
          <w:sz w:val="22"/>
          <w:szCs w:val="22"/>
        </w:rPr>
        <w:t>Chile</w:t>
      </w:r>
      <w:r w:rsidRPr="00883E07">
        <w:rPr>
          <w:rFonts w:asciiTheme="majorHAnsi" w:hAnsiTheme="majorHAnsi" w:cs="Arial"/>
          <w:sz w:val="22"/>
          <w:szCs w:val="22"/>
        </w:rPr>
        <w:t xml:space="preserve">, tiene a </w:t>
      </w:r>
      <w:r w:rsidRPr="00883E07">
        <w:rPr>
          <w:rFonts w:asciiTheme="majorHAnsi" w:hAnsiTheme="majorHAnsi" w:cs="Arial"/>
          <w:b/>
          <w:sz w:val="22"/>
          <w:szCs w:val="22"/>
        </w:rPr>
        <w:t>Fundación Chile</w:t>
      </w:r>
      <w:r w:rsidRPr="00883E07">
        <w:rPr>
          <w:rFonts w:asciiTheme="majorHAnsi" w:hAnsiTheme="majorHAnsi" w:cs="Arial"/>
          <w:sz w:val="22"/>
          <w:szCs w:val="22"/>
        </w:rPr>
        <w:t xml:space="preserve"> el cual es una corporación público - privada sin fines de lucro cuyos socios son el Gobierno de Chile y BHP </w:t>
      </w:r>
      <w:proofErr w:type="spellStart"/>
      <w:r w:rsidRPr="00883E07">
        <w:rPr>
          <w:rFonts w:asciiTheme="majorHAnsi" w:hAnsiTheme="majorHAnsi" w:cs="Arial"/>
          <w:sz w:val="22"/>
          <w:szCs w:val="22"/>
        </w:rPr>
        <w:t>Billiton</w:t>
      </w:r>
      <w:proofErr w:type="spellEnd"/>
      <w:r w:rsidRPr="00883E07">
        <w:rPr>
          <w:rFonts w:asciiTheme="majorHAnsi" w:hAnsiTheme="majorHAnsi" w:cs="Arial"/>
          <w:sz w:val="22"/>
          <w:szCs w:val="22"/>
        </w:rPr>
        <w:t xml:space="preserve"> – Minera Escondida, éste se enfoca al desarrollo tecnológico e innovación productiva. Para la actividad de acuicultura cuenta desde el año 1982 con un Centro de Desarrollo y Transferencia Tecnológica en acuicultura y cuenta con moderna infraestructura y capacidades técnico productivas y de </w:t>
      </w:r>
      <w:proofErr w:type="spellStart"/>
      <w:r w:rsidRPr="00883E07">
        <w:rPr>
          <w:rFonts w:asciiTheme="majorHAnsi" w:hAnsiTheme="majorHAnsi" w:cs="Arial"/>
          <w:sz w:val="22"/>
          <w:szCs w:val="22"/>
        </w:rPr>
        <w:t>I+D+i</w:t>
      </w:r>
      <w:proofErr w:type="spellEnd"/>
      <w:r w:rsidRPr="00883E07">
        <w:rPr>
          <w:rFonts w:asciiTheme="majorHAnsi" w:hAnsiTheme="majorHAnsi" w:cs="Arial"/>
          <w:sz w:val="22"/>
          <w:szCs w:val="22"/>
        </w:rPr>
        <w:t xml:space="preserve"> orientadas a la producción comercial de peces y moluscos, así como al desarrollo de nuevas oportunidades para la acuicultura de la macro zona norte de Chile.</w:t>
      </w:r>
    </w:p>
    <w:p w:rsidR="00642250" w:rsidRPr="00883E07" w:rsidRDefault="00642250" w:rsidP="00642250">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Por su parte, </w:t>
      </w:r>
      <w:r w:rsidRPr="00883E07">
        <w:rPr>
          <w:rFonts w:asciiTheme="majorHAnsi" w:hAnsiTheme="majorHAnsi" w:cs="Arial"/>
          <w:b/>
          <w:sz w:val="22"/>
          <w:szCs w:val="22"/>
        </w:rPr>
        <w:t>Brasil</w:t>
      </w:r>
      <w:r w:rsidRPr="00883E07">
        <w:rPr>
          <w:rFonts w:asciiTheme="majorHAnsi" w:hAnsiTheme="majorHAnsi" w:cs="Arial"/>
          <w:sz w:val="22"/>
          <w:szCs w:val="22"/>
        </w:rPr>
        <w:t xml:space="preserve"> para el despegue e impulso de la actividad de acuicultura cuenta desde el año 2003 con un </w:t>
      </w:r>
      <w:r w:rsidRPr="00883E07">
        <w:rPr>
          <w:rFonts w:asciiTheme="majorHAnsi" w:hAnsiTheme="majorHAnsi" w:cs="Arial"/>
          <w:b/>
          <w:sz w:val="22"/>
          <w:szCs w:val="22"/>
        </w:rPr>
        <w:t>Ministerio de Pesca y Acuicultura</w:t>
      </w:r>
      <w:r w:rsidRPr="00883E07">
        <w:rPr>
          <w:rFonts w:asciiTheme="majorHAnsi" w:hAnsiTheme="majorHAnsi" w:cs="Arial"/>
          <w:sz w:val="22"/>
          <w:szCs w:val="22"/>
        </w:rPr>
        <w:t xml:space="preserve"> y la investigación, desarrollo tecnológico e innovación se basa desde el año  en los trabajo que realiza el </w:t>
      </w:r>
      <w:r w:rsidRPr="00883E07">
        <w:rPr>
          <w:rFonts w:asciiTheme="majorHAnsi" w:hAnsiTheme="majorHAnsi" w:cs="Arial"/>
          <w:b/>
          <w:sz w:val="22"/>
          <w:szCs w:val="22"/>
        </w:rPr>
        <w:t>Instituto Nacional de Pesquisas da Amazonia (INPA)</w:t>
      </w:r>
      <w:r w:rsidRPr="00883E07">
        <w:rPr>
          <w:rFonts w:asciiTheme="majorHAnsi" w:hAnsiTheme="majorHAnsi" w:cs="Arial"/>
          <w:sz w:val="22"/>
          <w:szCs w:val="22"/>
        </w:rPr>
        <w:t xml:space="preserve">, el realiza investigaciones y desarrollo tecnológico para la acuicultura amazónica. Asimismo, </w:t>
      </w:r>
      <w:r w:rsidRPr="00883E07">
        <w:rPr>
          <w:rFonts w:asciiTheme="majorHAnsi" w:hAnsiTheme="majorHAnsi" w:cs="Arial"/>
          <w:b/>
          <w:sz w:val="22"/>
          <w:szCs w:val="22"/>
        </w:rPr>
        <w:t>Ecuador</w:t>
      </w:r>
      <w:r w:rsidRPr="00883E07">
        <w:rPr>
          <w:rFonts w:asciiTheme="majorHAnsi" w:hAnsiTheme="majorHAnsi" w:cs="Arial"/>
          <w:sz w:val="22"/>
          <w:szCs w:val="22"/>
        </w:rPr>
        <w:t xml:space="preserve"> para fortalecer la actividad de acuicultura y especialmente la de langostino cuenta con el </w:t>
      </w:r>
      <w:r w:rsidRPr="00883E07">
        <w:rPr>
          <w:rFonts w:asciiTheme="majorHAnsi" w:hAnsiTheme="majorHAnsi" w:cs="Arial"/>
          <w:b/>
          <w:sz w:val="22"/>
          <w:szCs w:val="22"/>
        </w:rPr>
        <w:t>Centro Nacional de Acuicultura e Investigaciones Marinas – CENAIM</w:t>
      </w:r>
      <w:r w:rsidRPr="00883E07">
        <w:rPr>
          <w:rFonts w:asciiTheme="majorHAnsi" w:hAnsiTheme="majorHAnsi" w:cs="Arial"/>
          <w:sz w:val="22"/>
          <w:szCs w:val="22"/>
        </w:rPr>
        <w:t>, abocado al desarrollo de la acuicultura de langostino (camarón blanco)</w:t>
      </w:r>
    </w:p>
    <w:p w:rsidR="00642250" w:rsidRPr="00883E07" w:rsidRDefault="00642250" w:rsidP="00642250">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De igual modo, </w:t>
      </w:r>
      <w:r w:rsidRPr="00883E07">
        <w:rPr>
          <w:rFonts w:asciiTheme="majorHAnsi" w:hAnsiTheme="majorHAnsi" w:cs="Arial"/>
          <w:b/>
          <w:sz w:val="22"/>
          <w:szCs w:val="22"/>
        </w:rPr>
        <w:t>Colombia</w:t>
      </w:r>
      <w:r w:rsidRPr="00883E07">
        <w:rPr>
          <w:rFonts w:asciiTheme="majorHAnsi" w:hAnsiTheme="majorHAnsi" w:cs="Arial"/>
          <w:sz w:val="22"/>
          <w:szCs w:val="22"/>
        </w:rPr>
        <w:t xml:space="preserve"> cuenta con el </w:t>
      </w:r>
      <w:r w:rsidRPr="00883E07">
        <w:rPr>
          <w:rFonts w:asciiTheme="majorHAnsi" w:hAnsiTheme="majorHAnsi" w:cs="Arial"/>
          <w:b/>
          <w:sz w:val="22"/>
          <w:szCs w:val="22"/>
        </w:rPr>
        <w:t>Centro de Investigaciones de la Acuicultura de Colombia (CENIACUA)</w:t>
      </w:r>
      <w:r w:rsidRPr="00883E07">
        <w:rPr>
          <w:rFonts w:asciiTheme="majorHAnsi" w:hAnsiTheme="majorHAnsi" w:cs="Arial"/>
          <w:sz w:val="22"/>
          <w:szCs w:val="22"/>
        </w:rPr>
        <w:t xml:space="preserve">, el cual sienta las bases científicas y tecnológicas para el desarrollo de la acuicultura de langostino, tilapia e incursionando en el desarrollo tecnológico de peces marinos, permitiéndoles afianzar el desarrollo de la acuicultura. </w:t>
      </w:r>
      <w:r w:rsidRPr="00883E07">
        <w:rPr>
          <w:rFonts w:asciiTheme="majorHAnsi" w:hAnsiTheme="majorHAnsi" w:cs="Arial"/>
          <w:b/>
          <w:sz w:val="22"/>
          <w:szCs w:val="22"/>
        </w:rPr>
        <w:t>México</w:t>
      </w:r>
      <w:r w:rsidRPr="00883E07">
        <w:rPr>
          <w:rFonts w:asciiTheme="majorHAnsi" w:hAnsiTheme="majorHAnsi" w:cs="Arial"/>
          <w:sz w:val="22"/>
          <w:szCs w:val="22"/>
        </w:rPr>
        <w:t xml:space="preserve"> cuenta con el </w:t>
      </w:r>
      <w:r w:rsidRPr="00883E07">
        <w:rPr>
          <w:rFonts w:asciiTheme="majorHAnsi" w:hAnsiTheme="majorHAnsi" w:cs="Arial"/>
          <w:b/>
          <w:sz w:val="22"/>
          <w:szCs w:val="22"/>
        </w:rPr>
        <w:t>Instituto Nacional de Pesca y Acuicultura (INAPESCA)</w:t>
      </w:r>
      <w:r w:rsidRPr="00883E07">
        <w:rPr>
          <w:rFonts w:asciiTheme="majorHAnsi" w:hAnsiTheme="majorHAnsi" w:cs="Arial"/>
          <w:sz w:val="22"/>
          <w:szCs w:val="22"/>
        </w:rPr>
        <w:t xml:space="preserve"> el cual se encarga de la investigación y desarrollo tecnológico de la acuicultura, contando para su labor con centros regionales de investigación.</w:t>
      </w:r>
    </w:p>
    <w:p w:rsidR="007D104E" w:rsidRPr="00883E07" w:rsidRDefault="00642250" w:rsidP="00642250">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Finalmente, </w:t>
      </w:r>
      <w:r w:rsidRPr="00883E07">
        <w:rPr>
          <w:rFonts w:asciiTheme="majorHAnsi" w:hAnsiTheme="majorHAnsi" w:cs="Arial"/>
          <w:b/>
          <w:sz w:val="22"/>
          <w:szCs w:val="22"/>
        </w:rPr>
        <w:t>Perú</w:t>
      </w:r>
      <w:r w:rsidRPr="00883E07">
        <w:rPr>
          <w:rFonts w:asciiTheme="majorHAnsi" w:hAnsiTheme="majorHAnsi" w:cs="Arial"/>
          <w:sz w:val="22"/>
          <w:szCs w:val="22"/>
        </w:rPr>
        <w:t xml:space="preserve"> para la investigación y desarrollo tecnológico en acuicultura, cuenta con dos instituciones la primera de esta es el </w:t>
      </w:r>
      <w:r w:rsidRPr="00883E07">
        <w:rPr>
          <w:rFonts w:asciiTheme="majorHAnsi" w:hAnsiTheme="majorHAnsi" w:cs="Arial"/>
          <w:b/>
          <w:sz w:val="22"/>
          <w:szCs w:val="22"/>
        </w:rPr>
        <w:t>Instituto del Mar del Perú (IMARPE)</w:t>
      </w:r>
      <w:r w:rsidRPr="00883E07">
        <w:rPr>
          <w:rFonts w:asciiTheme="majorHAnsi" w:hAnsiTheme="majorHAnsi" w:cs="Arial"/>
          <w:sz w:val="22"/>
          <w:szCs w:val="22"/>
        </w:rPr>
        <w:t xml:space="preserve">, cuya fortaleza se encuentra abocada al </w:t>
      </w:r>
      <w:r w:rsidRPr="00883E07">
        <w:rPr>
          <w:rFonts w:asciiTheme="majorHAnsi" w:hAnsiTheme="majorHAnsi" w:cs="Arial"/>
          <w:sz w:val="22"/>
          <w:szCs w:val="22"/>
          <w:u w:val="single"/>
        </w:rPr>
        <w:t>estudio de los recursos pesqueros y la dinámica de poblaciones de los mismos</w:t>
      </w:r>
      <w:r w:rsidRPr="00883E07">
        <w:rPr>
          <w:rFonts w:asciiTheme="majorHAnsi" w:hAnsiTheme="majorHAnsi" w:cs="Arial"/>
          <w:sz w:val="22"/>
          <w:szCs w:val="22"/>
        </w:rPr>
        <w:t xml:space="preserve">, además cuenta con una Dirección de Investigaciones de Acuicultura aún muy limitada y sus acciones no están contribuyendo con impulsar la acuicultura, de otro lado se cuenta con el </w:t>
      </w:r>
      <w:r w:rsidRPr="00883E07">
        <w:rPr>
          <w:rFonts w:asciiTheme="majorHAnsi" w:hAnsiTheme="majorHAnsi" w:cs="Arial"/>
          <w:b/>
          <w:sz w:val="22"/>
          <w:szCs w:val="22"/>
        </w:rPr>
        <w:t>Fondo Nacional de Desarrollo Pesquero (FONDEPES)</w:t>
      </w:r>
      <w:r w:rsidRPr="00883E07">
        <w:rPr>
          <w:rFonts w:asciiTheme="majorHAnsi" w:hAnsiTheme="majorHAnsi" w:cs="Arial"/>
          <w:sz w:val="22"/>
          <w:szCs w:val="22"/>
        </w:rPr>
        <w:t xml:space="preserve">, cuya fortaleza se encuentra en el </w:t>
      </w:r>
      <w:r w:rsidRPr="00883E07">
        <w:rPr>
          <w:rFonts w:asciiTheme="majorHAnsi" w:hAnsiTheme="majorHAnsi" w:cs="Arial"/>
          <w:sz w:val="22"/>
          <w:szCs w:val="22"/>
          <w:u w:val="single"/>
        </w:rPr>
        <w:t>otorgamiento de créditos para la pesca y acuicultura, gestión de desembarcaderos para la pesca artesanal y la capacitación del pescador artesanal</w:t>
      </w:r>
      <w:r w:rsidRPr="00883E07">
        <w:rPr>
          <w:rFonts w:asciiTheme="majorHAnsi" w:hAnsiTheme="majorHAnsi" w:cs="Arial"/>
          <w:sz w:val="22"/>
          <w:szCs w:val="22"/>
        </w:rPr>
        <w:t xml:space="preserve">, para la acuicultura cuenta con una Dirección de Capacitación y Desarrollo Técnico en Acuicultura y del cual dependen centros de acuicultura en la costa y selva del país, sin embargo por su propia estructura, funciones y fortalezas institucionales, la bases científicas y tecnológicas que hayan desarrollado para contribuir con la acuicultura peruana es muy escasa, ello debido a que </w:t>
      </w:r>
      <w:r w:rsidRPr="00883E07">
        <w:rPr>
          <w:rFonts w:asciiTheme="majorHAnsi" w:hAnsiTheme="majorHAnsi" w:cs="Arial"/>
          <w:sz w:val="22"/>
          <w:szCs w:val="22"/>
          <w:u w:val="single"/>
        </w:rPr>
        <w:t>no existe una integralidad ni articulación entre la investigación realizada por IMARPE y el desarrollo Tecnológico de FONDEPES</w:t>
      </w:r>
      <w:r w:rsidRPr="00883E07">
        <w:rPr>
          <w:rFonts w:asciiTheme="majorHAnsi" w:hAnsiTheme="majorHAnsi" w:cs="Arial"/>
          <w:sz w:val="22"/>
          <w:szCs w:val="22"/>
        </w:rPr>
        <w:t xml:space="preserve"> y en algunos casos esta la duplicidad de acciones de investigación al no definir competencias. </w:t>
      </w:r>
    </w:p>
    <w:p w:rsidR="00642250" w:rsidRPr="00883E07" w:rsidRDefault="00642250" w:rsidP="00642250">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Por ello </w:t>
      </w:r>
      <w:r w:rsidRPr="001D744D">
        <w:rPr>
          <w:rFonts w:asciiTheme="majorHAnsi" w:hAnsiTheme="majorHAnsi" w:cs="Arial"/>
          <w:sz w:val="22"/>
          <w:szCs w:val="22"/>
          <w:u w:val="single"/>
        </w:rPr>
        <w:t>se considera importante que para institucionalizar la investigación</w:t>
      </w:r>
      <w:r w:rsidR="00045098" w:rsidRPr="001D744D">
        <w:rPr>
          <w:rFonts w:asciiTheme="majorHAnsi" w:hAnsiTheme="majorHAnsi" w:cs="Arial"/>
          <w:sz w:val="22"/>
          <w:szCs w:val="22"/>
          <w:u w:val="single"/>
        </w:rPr>
        <w:t xml:space="preserve"> e </w:t>
      </w:r>
      <w:r w:rsidRPr="001D744D">
        <w:rPr>
          <w:rFonts w:asciiTheme="majorHAnsi" w:hAnsiTheme="majorHAnsi" w:cs="Arial"/>
          <w:sz w:val="22"/>
          <w:szCs w:val="22"/>
          <w:u w:val="single"/>
        </w:rPr>
        <w:t>innovación en acuicultura</w:t>
      </w:r>
      <w:r w:rsidR="007D104E" w:rsidRPr="001D744D">
        <w:rPr>
          <w:rFonts w:asciiTheme="majorHAnsi" w:hAnsiTheme="majorHAnsi" w:cs="Arial"/>
          <w:sz w:val="22"/>
          <w:szCs w:val="22"/>
          <w:u w:val="single"/>
        </w:rPr>
        <w:t>,</w:t>
      </w:r>
      <w:r w:rsidRPr="001D744D">
        <w:rPr>
          <w:rFonts w:asciiTheme="majorHAnsi" w:hAnsiTheme="majorHAnsi" w:cs="Arial"/>
          <w:sz w:val="22"/>
          <w:szCs w:val="22"/>
          <w:u w:val="single"/>
        </w:rPr>
        <w:t xml:space="preserve"> </w:t>
      </w:r>
      <w:r w:rsidR="007D104E" w:rsidRPr="001D744D">
        <w:rPr>
          <w:rFonts w:asciiTheme="majorHAnsi" w:hAnsiTheme="majorHAnsi" w:cs="Arial"/>
          <w:sz w:val="22"/>
          <w:szCs w:val="22"/>
          <w:u w:val="single"/>
        </w:rPr>
        <w:t xml:space="preserve">debe </w:t>
      </w:r>
      <w:r w:rsidRPr="001D744D">
        <w:rPr>
          <w:rFonts w:asciiTheme="majorHAnsi" w:hAnsiTheme="majorHAnsi" w:cs="Arial"/>
          <w:sz w:val="22"/>
          <w:szCs w:val="22"/>
          <w:u w:val="single"/>
        </w:rPr>
        <w:t>conformarse una sola institución que se aboque a todos los temas de ciencia, desarrollo tecnológico e innovación en acuicultura, el cual podría denominarse Instituto Nacional de la Acuicultura (INA), contribuyendo con la tecnificación y definiendo bases científicas que sustenten el desarrollo de la acuicultura peruana</w:t>
      </w:r>
      <w:r w:rsidR="00045098" w:rsidRPr="00883E07">
        <w:rPr>
          <w:rFonts w:asciiTheme="majorHAnsi" w:hAnsiTheme="majorHAnsi" w:cs="Arial"/>
          <w:sz w:val="22"/>
          <w:szCs w:val="22"/>
        </w:rPr>
        <w:t>, como sucede en otros países de la Región</w:t>
      </w:r>
      <w:r w:rsidRPr="00883E07">
        <w:rPr>
          <w:rFonts w:asciiTheme="majorHAnsi" w:hAnsiTheme="majorHAnsi" w:cs="Arial"/>
          <w:sz w:val="22"/>
          <w:szCs w:val="22"/>
        </w:rPr>
        <w:t>.</w:t>
      </w:r>
    </w:p>
    <w:p w:rsidR="00045098" w:rsidRPr="00883E07" w:rsidRDefault="00045098" w:rsidP="00045098">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Asimismo, se debe señalar que la priorización de las investigaciones resulta importante por lo que se cuenta con el Programa Nacional de Ciencia, Desarrollo Tecnológico e </w:t>
      </w:r>
      <w:r w:rsidRPr="00883E07">
        <w:rPr>
          <w:rFonts w:asciiTheme="majorHAnsi" w:hAnsiTheme="majorHAnsi" w:cs="Arial"/>
          <w:sz w:val="22"/>
          <w:szCs w:val="22"/>
        </w:rPr>
        <w:lastRenderedPageBreak/>
        <w:t xml:space="preserve">Innovación en Acuicultura 2013 - 2021, se ha estimado que para implementar cada componente del citado Programa Nacional se requeriría una cifra cercana a los S/. 23 000,000 (veintitrés millones de nuevos soles) anuales, que vendría siendo un valor cercano al 3 % del valor anual de la producción acuícola del Perú. Se pudiera pensar que es un gasto alto, si se le compara con el gasto medio en </w:t>
      </w:r>
      <w:proofErr w:type="spellStart"/>
      <w:r w:rsidRPr="00883E07">
        <w:rPr>
          <w:rFonts w:asciiTheme="majorHAnsi" w:hAnsiTheme="majorHAnsi" w:cs="Arial"/>
          <w:sz w:val="22"/>
          <w:szCs w:val="22"/>
        </w:rPr>
        <w:t>C+DT+i</w:t>
      </w:r>
      <w:proofErr w:type="spellEnd"/>
      <w:r w:rsidRPr="00883E07">
        <w:rPr>
          <w:rFonts w:asciiTheme="majorHAnsi" w:hAnsiTheme="majorHAnsi" w:cs="Arial"/>
          <w:sz w:val="22"/>
          <w:szCs w:val="22"/>
        </w:rPr>
        <w:t xml:space="preserve"> del país, pero la acuicultura es un sector en pleno desarrollo, capaz de retribuir una inversión fuerte en ciencia y tecnología.  En ese sentido, dicho fondo podría ser en parte brindado por el Fondo de Investigación Acuícola (FIA) </w:t>
      </w:r>
    </w:p>
    <w:p w:rsidR="00635987" w:rsidRPr="00883E07" w:rsidRDefault="00635987" w:rsidP="00635987">
      <w:pPr>
        <w:jc w:val="both"/>
        <w:rPr>
          <w:rFonts w:asciiTheme="majorHAnsi" w:hAnsiTheme="majorHAnsi" w:cs="Arial"/>
          <w:b/>
          <w:sz w:val="22"/>
          <w:szCs w:val="22"/>
          <w:u w:val="single"/>
          <w:lang w:val="es-PE" w:eastAsia="es-PE"/>
        </w:rPr>
      </w:pPr>
      <w:r w:rsidRPr="00883E07">
        <w:rPr>
          <w:rFonts w:asciiTheme="majorHAnsi" w:hAnsiTheme="majorHAnsi" w:cs="Arial"/>
          <w:b/>
          <w:sz w:val="22"/>
          <w:szCs w:val="22"/>
          <w:u w:val="single"/>
          <w:lang w:val="es-PE" w:eastAsia="es-PE"/>
        </w:rPr>
        <w:t>Mejora de la competitividad de las empresas del sector</w:t>
      </w:r>
    </w:p>
    <w:p w:rsidR="00635987" w:rsidRPr="00883E07" w:rsidRDefault="00635987" w:rsidP="00635987">
      <w:pPr>
        <w:spacing w:before="240" w:after="240"/>
        <w:jc w:val="both"/>
        <w:rPr>
          <w:rFonts w:asciiTheme="majorHAnsi" w:hAnsiTheme="majorHAnsi" w:cs="Arial"/>
          <w:sz w:val="22"/>
          <w:szCs w:val="22"/>
        </w:rPr>
      </w:pPr>
      <w:r w:rsidRPr="00883E07">
        <w:rPr>
          <w:rFonts w:asciiTheme="majorHAnsi" w:hAnsiTheme="majorHAnsi" w:cs="Arial"/>
          <w:sz w:val="22"/>
          <w:szCs w:val="22"/>
          <w:lang w:val="es-PE"/>
        </w:rPr>
        <w:t>L</w:t>
      </w:r>
      <w:r w:rsidRPr="00883E07">
        <w:rPr>
          <w:rFonts w:asciiTheme="majorHAnsi" w:hAnsiTheme="majorHAnsi" w:cs="Arial"/>
          <w:sz w:val="22"/>
          <w:szCs w:val="22"/>
        </w:rPr>
        <w:t>os aspectos básicos de la tecnología de cultivo de las principales especies producidas comercialmente en el Perú como son la concha de abanico, langostino y trucha, están resueltos, así como el acceso a insumos y conocimientos necesarios para llevar a cabo la producción, no existiendo impedimentos para una expansión de la producción por parte de los centros acuícolas existentes o por nuevos inversores que utilicen ese “</w:t>
      </w:r>
      <w:proofErr w:type="spellStart"/>
      <w:r w:rsidRPr="00883E07">
        <w:rPr>
          <w:rFonts w:asciiTheme="majorHAnsi" w:hAnsiTheme="majorHAnsi" w:cs="Arial"/>
          <w:sz w:val="22"/>
          <w:szCs w:val="22"/>
        </w:rPr>
        <w:t>know</w:t>
      </w:r>
      <w:proofErr w:type="spellEnd"/>
      <w:r w:rsidRPr="00883E07">
        <w:rPr>
          <w:rFonts w:asciiTheme="majorHAnsi" w:hAnsiTheme="majorHAnsi" w:cs="Arial"/>
          <w:sz w:val="22"/>
          <w:szCs w:val="22"/>
        </w:rPr>
        <w:t xml:space="preserve"> </w:t>
      </w:r>
      <w:proofErr w:type="spellStart"/>
      <w:r w:rsidRPr="00883E07">
        <w:rPr>
          <w:rFonts w:asciiTheme="majorHAnsi" w:hAnsiTheme="majorHAnsi" w:cs="Arial"/>
          <w:sz w:val="22"/>
          <w:szCs w:val="22"/>
        </w:rPr>
        <w:t>how</w:t>
      </w:r>
      <w:proofErr w:type="spellEnd"/>
      <w:r w:rsidRPr="00883E07">
        <w:rPr>
          <w:rFonts w:asciiTheme="majorHAnsi" w:hAnsiTheme="majorHAnsi" w:cs="Arial"/>
          <w:sz w:val="22"/>
          <w:szCs w:val="22"/>
        </w:rPr>
        <w:t>”; por lo que,  esta expansión va a depender más de la estabilidad política y económica del país. Asimismo el desarrollo de nueva tecnología acuícola que mejore la competitividad de las empresas, así como el desarrollo de tecnología de cultivo de otras especies, como ha venido ocurriendo durante la última década, incentivados por los beneficios tributarios vigentes, propiciará un crecimiento de la actividad.</w:t>
      </w:r>
    </w:p>
    <w:p w:rsidR="00635987" w:rsidRPr="00883E07" w:rsidRDefault="00635987" w:rsidP="00635987">
      <w:pPr>
        <w:spacing w:before="240" w:after="240"/>
        <w:jc w:val="both"/>
        <w:rPr>
          <w:rFonts w:asciiTheme="majorHAnsi" w:hAnsiTheme="majorHAnsi" w:cs="Arial"/>
          <w:sz w:val="22"/>
          <w:szCs w:val="22"/>
        </w:rPr>
      </w:pPr>
      <w:r w:rsidRPr="00883E07">
        <w:rPr>
          <w:rFonts w:asciiTheme="majorHAnsi" w:hAnsiTheme="majorHAnsi" w:cs="Arial"/>
          <w:sz w:val="22"/>
          <w:szCs w:val="22"/>
        </w:rPr>
        <w:t>Cabe señalar que para acceder con éxito en el mercado internacional, los acuicultores peruanos deben considerar diversos retos, principalmente de índole económico, como costos de producción, elaboración, empaque y acondicionamiento de los productos; transporte, con sus consecuentes problemas de infraestructura vial y de comunicaciones; financiamiento para actividades productivas y factores externos a la actividad acuícola, situación que los obliga a ser cada día más competitivos. Dado el desarrollo aún en niveles incipientes de la acuicultura nacional, en comparación a otros países de la Región, la mejor opción sería tratar de consolidar los cultivos que han dado muestras de viabilidad técnica y económica, antes de dispersar esfuerzos y recursos en un número elevado de sistemas productivos o especies a cultivar. Con este enfoque, los esfuerzos de investigación y desarrollo se deberían de concentrar en los sistemas de cultivos comerciales existentes y en proyectos integrales de investigación biotecnológica, económica y de mercado.</w:t>
      </w:r>
    </w:p>
    <w:p w:rsidR="00635987" w:rsidRPr="00883E07" w:rsidRDefault="00635987" w:rsidP="00635987">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Por esto, los beneficios tributarios que se pretenden mantener permitirán que la inversión en el sector se oriente principalmente al desarrollo de nuevas tecnologías o al perfeccionamiento de la técnica que actualmente se utiliza, lo cual evidenciará una mejora en las condiciones económicas y ambientales de producción, fortaleciendo así su estrategia empresarial y alcanzando un rendimiento superior frente a otros agentes económicos.  Así, mediante el acogimiento al Régimen Especial de Recuperación Anticipada del Impuesto General a las Ventas, siendo este un instrumento de tipo financiero, y la prórroga de los beneficios tributarios se genera un mejor clima para el desarrollo de las inversiones del sector. </w:t>
      </w:r>
    </w:p>
    <w:p w:rsidR="00635987" w:rsidRPr="00883E07" w:rsidRDefault="00635987" w:rsidP="00635987">
      <w:pPr>
        <w:jc w:val="both"/>
        <w:rPr>
          <w:rFonts w:asciiTheme="majorHAnsi" w:hAnsiTheme="majorHAnsi" w:cs="Arial"/>
          <w:b/>
          <w:sz w:val="22"/>
          <w:szCs w:val="22"/>
          <w:u w:val="single"/>
        </w:rPr>
      </w:pPr>
      <w:r w:rsidRPr="00883E07">
        <w:rPr>
          <w:rFonts w:asciiTheme="majorHAnsi" w:hAnsiTheme="majorHAnsi" w:cs="Arial"/>
          <w:b/>
          <w:sz w:val="22"/>
          <w:szCs w:val="22"/>
          <w:u w:val="single"/>
        </w:rPr>
        <w:t>Marco normativo que promueva el desarrollo de nuevas inversiones</w:t>
      </w:r>
    </w:p>
    <w:p w:rsidR="00635987" w:rsidRPr="00883E07" w:rsidRDefault="00635987" w:rsidP="00635987">
      <w:pPr>
        <w:jc w:val="both"/>
        <w:rPr>
          <w:rFonts w:asciiTheme="majorHAnsi" w:hAnsiTheme="majorHAnsi" w:cs="Arial"/>
          <w:b/>
          <w:sz w:val="22"/>
          <w:szCs w:val="22"/>
        </w:rPr>
      </w:pPr>
    </w:p>
    <w:p w:rsidR="00635987" w:rsidRPr="00883E07" w:rsidRDefault="00635987" w:rsidP="00635987">
      <w:pPr>
        <w:jc w:val="both"/>
        <w:rPr>
          <w:rFonts w:asciiTheme="majorHAnsi" w:hAnsiTheme="majorHAnsi" w:cs="Arial"/>
          <w:szCs w:val="22"/>
        </w:rPr>
      </w:pPr>
      <w:r w:rsidRPr="00883E07">
        <w:rPr>
          <w:rFonts w:asciiTheme="majorHAnsi" w:hAnsiTheme="majorHAnsi" w:cs="Arial"/>
          <w:sz w:val="22"/>
          <w:szCs w:val="22"/>
        </w:rPr>
        <w:t>En particular, es necesario que el país mantenga estabilidad económica y social, que el Ministerio de la Producción y los usuarios de la acuicultura</w:t>
      </w:r>
      <w:r w:rsidR="001D744D">
        <w:rPr>
          <w:rFonts w:asciiTheme="majorHAnsi" w:hAnsiTheme="majorHAnsi" w:cs="Arial"/>
          <w:sz w:val="22"/>
          <w:szCs w:val="22"/>
        </w:rPr>
        <w:t xml:space="preserve"> (a través del Viceministerio de Acuicultura) </w:t>
      </w:r>
      <w:r w:rsidRPr="00883E07">
        <w:rPr>
          <w:rFonts w:asciiTheme="majorHAnsi" w:hAnsiTheme="majorHAnsi" w:cs="Arial"/>
          <w:sz w:val="22"/>
          <w:szCs w:val="22"/>
        </w:rPr>
        <w:t xml:space="preserve"> trabajen de común acuerdo para adecuar la legislación vigente a las necesidades del desarrollo de la actividad; se promueva la producción y el abastecimiento de insumos para la acuicultura; se desarrollen servicios técnicos para la acuicultura, incluyendo servicios sanitarios modernos para los productos y un sistema de atención sanitaria a los cultivos en las granjas; se fortalezca la comercialización local, nacional y </w:t>
      </w:r>
      <w:r w:rsidRPr="00883E07">
        <w:rPr>
          <w:rFonts w:asciiTheme="majorHAnsi" w:hAnsiTheme="majorHAnsi" w:cs="Arial"/>
          <w:sz w:val="22"/>
          <w:szCs w:val="22"/>
        </w:rPr>
        <w:lastRenderedPageBreak/>
        <w:t>externa de los productos acuícolas y se capacite a los pequeños acuicultores en organización, formalidad de sus emprendimientos y viabilidad económica de las empresas acuícolas.</w:t>
      </w:r>
    </w:p>
    <w:p w:rsidR="00635987" w:rsidRPr="00883E07" w:rsidRDefault="00635987" w:rsidP="00635987">
      <w:pPr>
        <w:jc w:val="both"/>
        <w:rPr>
          <w:rFonts w:asciiTheme="majorHAnsi" w:hAnsiTheme="majorHAnsi" w:cs="Arial"/>
          <w:sz w:val="22"/>
          <w:szCs w:val="22"/>
        </w:rPr>
      </w:pPr>
    </w:p>
    <w:p w:rsidR="00635987" w:rsidRPr="00883E07" w:rsidRDefault="00635987" w:rsidP="00635987">
      <w:pPr>
        <w:jc w:val="both"/>
        <w:rPr>
          <w:rFonts w:asciiTheme="majorHAnsi" w:hAnsiTheme="majorHAnsi" w:cs="Arial"/>
          <w:sz w:val="22"/>
          <w:szCs w:val="22"/>
        </w:rPr>
      </w:pPr>
      <w:r w:rsidRPr="00883E07">
        <w:rPr>
          <w:rFonts w:asciiTheme="majorHAnsi" w:hAnsiTheme="majorHAnsi" w:cs="Arial"/>
          <w:sz w:val="22"/>
          <w:szCs w:val="22"/>
        </w:rPr>
        <w:t>En tal sentido, a fin de dar continuidad a las inversiones en acuicultura y permitir la obtención de un retorno óptimo de las mismas, se requiere el establecimiento de reglas claras y bien definidas en el sector en un horizonte a largo plazo que permita brindar mayor predictibilidad a los inversionistas, y a la vez, para captar nuevos inversionistas; más aún, cuando tenemos grandes carencias en investigación de nuevas tecnologías, las cuales son asumidas por el inversionista privado.</w:t>
      </w:r>
    </w:p>
    <w:p w:rsidR="00635987" w:rsidRPr="00883E07" w:rsidRDefault="00635987" w:rsidP="00635987">
      <w:pPr>
        <w:spacing w:before="240" w:after="240"/>
        <w:jc w:val="both"/>
        <w:rPr>
          <w:rFonts w:asciiTheme="majorHAnsi" w:hAnsiTheme="majorHAnsi" w:cs="Arial"/>
          <w:sz w:val="22"/>
          <w:szCs w:val="22"/>
        </w:rPr>
      </w:pPr>
      <w:r w:rsidRPr="00883E07">
        <w:rPr>
          <w:rFonts w:asciiTheme="majorHAnsi" w:hAnsiTheme="majorHAnsi" w:cs="Arial"/>
          <w:sz w:val="22"/>
          <w:szCs w:val="22"/>
        </w:rPr>
        <w:t xml:space="preserve">La existencia de los beneficios tributarios permitirá que se mantenga el desarrollo de los proyectos privados que se vienen ejecutando y las nuevas inversiones orientadas principalmente al cultivo de trucha, </w:t>
      </w:r>
      <w:proofErr w:type="spellStart"/>
      <w:r w:rsidRPr="00883E07">
        <w:rPr>
          <w:rFonts w:asciiTheme="majorHAnsi" w:hAnsiTheme="majorHAnsi" w:cs="Arial"/>
          <w:sz w:val="22"/>
          <w:szCs w:val="22"/>
        </w:rPr>
        <w:t>paiche</w:t>
      </w:r>
      <w:proofErr w:type="spellEnd"/>
      <w:r w:rsidRPr="00883E07">
        <w:rPr>
          <w:rFonts w:asciiTheme="majorHAnsi" w:hAnsiTheme="majorHAnsi" w:cs="Arial"/>
          <w:sz w:val="22"/>
          <w:szCs w:val="22"/>
        </w:rPr>
        <w:t xml:space="preserve"> y peces planos. Asimismo, incentivará la competitividad de las empresas del sector, permitiendo el desarrollo de nuevas tecnologías de producción.</w:t>
      </w:r>
    </w:p>
    <w:p w:rsidR="00635987" w:rsidRPr="00883E07" w:rsidRDefault="00635987" w:rsidP="00635987">
      <w:pPr>
        <w:spacing w:before="240" w:after="240"/>
        <w:jc w:val="both"/>
        <w:rPr>
          <w:rFonts w:asciiTheme="majorHAnsi" w:hAnsiTheme="majorHAnsi" w:cs="Arial"/>
          <w:sz w:val="22"/>
          <w:szCs w:val="22"/>
        </w:rPr>
      </w:pPr>
      <w:r w:rsidRPr="00883E07">
        <w:rPr>
          <w:rFonts w:asciiTheme="majorHAnsi" w:hAnsiTheme="majorHAnsi" w:cs="Arial"/>
          <w:sz w:val="22"/>
          <w:szCs w:val="22"/>
        </w:rPr>
        <w:t>El desarrollo alcanzado por la acuicultura en los últimos años es prueba de que los servicios técnicos han contribuido en alguna medida a tal desarrollo, sin embargo, estos deben ser perfeccionados para contribuir  a la consolidación de la actividad.</w:t>
      </w:r>
    </w:p>
    <w:p w:rsidR="00635987" w:rsidRPr="00883E07" w:rsidRDefault="00635987" w:rsidP="00635987">
      <w:pPr>
        <w:jc w:val="both"/>
        <w:rPr>
          <w:rFonts w:asciiTheme="majorHAnsi" w:hAnsiTheme="majorHAnsi" w:cs="Arial"/>
          <w:sz w:val="22"/>
          <w:szCs w:val="22"/>
        </w:rPr>
      </w:pPr>
      <w:r w:rsidRPr="00883E07">
        <w:rPr>
          <w:rFonts w:asciiTheme="majorHAnsi" w:hAnsiTheme="majorHAnsi" w:cs="Arial"/>
          <w:sz w:val="22"/>
          <w:szCs w:val="22"/>
        </w:rPr>
        <w:t>Por ello, resulta necesario que la acuicultura sea objeto del mismo tratamiento tributario establecido para la agricultura y que este sea aplicado por igual plazo, siendo este hasta el 31 de diciembre del año 2021.</w:t>
      </w:r>
    </w:p>
    <w:p w:rsidR="00045098" w:rsidRPr="00883E07" w:rsidRDefault="0051471E" w:rsidP="00642250">
      <w:pPr>
        <w:spacing w:before="240" w:after="240"/>
        <w:jc w:val="both"/>
        <w:rPr>
          <w:rFonts w:asciiTheme="majorHAnsi" w:hAnsiTheme="majorHAnsi" w:cs="Arial"/>
          <w:b/>
          <w:sz w:val="22"/>
          <w:szCs w:val="22"/>
          <w:u w:val="single"/>
          <w:lang w:val="es-MX"/>
        </w:rPr>
      </w:pPr>
      <w:r w:rsidRPr="00883E07">
        <w:rPr>
          <w:rFonts w:asciiTheme="majorHAnsi" w:hAnsiTheme="majorHAnsi" w:cs="Arial"/>
          <w:b/>
          <w:sz w:val="22"/>
          <w:szCs w:val="22"/>
          <w:u w:val="single"/>
          <w:lang w:val="es-MX"/>
        </w:rPr>
        <w:t>Otras consideraciones</w:t>
      </w:r>
    </w:p>
    <w:bookmarkEnd w:id="1"/>
    <w:bookmarkEnd w:id="2"/>
    <w:p w:rsidR="00D943E0" w:rsidRPr="00883E07" w:rsidRDefault="00D943E0" w:rsidP="00D943E0">
      <w:pPr>
        <w:jc w:val="both"/>
        <w:rPr>
          <w:rFonts w:asciiTheme="majorHAnsi" w:hAnsiTheme="majorHAnsi" w:cs="Arial"/>
          <w:sz w:val="22"/>
          <w:szCs w:val="22"/>
        </w:rPr>
      </w:pPr>
      <w:r w:rsidRPr="00883E07">
        <w:rPr>
          <w:rFonts w:asciiTheme="majorHAnsi" w:hAnsiTheme="majorHAnsi" w:cs="Arial"/>
          <w:sz w:val="22"/>
          <w:szCs w:val="22"/>
        </w:rPr>
        <w:t>Como se ha detallado, la acuicultura se ha declarado como una actividad de interés nacional</w:t>
      </w:r>
      <w:r w:rsidR="00A47C96" w:rsidRPr="00883E07">
        <w:rPr>
          <w:rFonts w:asciiTheme="majorHAnsi" w:hAnsiTheme="majorHAnsi" w:cs="Arial"/>
          <w:sz w:val="22"/>
          <w:szCs w:val="22"/>
        </w:rPr>
        <w:t xml:space="preserve"> (Decreto Legislativo N° 1032)</w:t>
      </w:r>
      <w:r w:rsidR="00C508EC" w:rsidRPr="00883E07">
        <w:rPr>
          <w:rFonts w:asciiTheme="majorHAnsi" w:hAnsiTheme="majorHAnsi" w:cs="Arial"/>
          <w:sz w:val="22"/>
          <w:szCs w:val="22"/>
        </w:rPr>
        <w:t xml:space="preserve">, efectuándose la simplificación de los trámites mediante </w:t>
      </w:r>
      <w:r w:rsidRPr="00883E07">
        <w:rPr>
          <w:rFonts w:asciiTheme="majorHAnsi" w:hAnsiTheme="majorHAnsi" w:cs="Arial"/>
          <w:sz w:val="22"/>
          <w:szCs w:val="22"/>
        </w:rPr>
        <w:t>la creación de la Ventanilla Única de Acuicultura</w:t>
      </w:r>
      <w:r w:rsidR="00C508EC" w:rsidRPr="00883E07">
        <w:rPr>
          <w:rFonts w:asciiTheme="majorHAnsi" w:hAnsiTheme="majorHAnsi" w:cs="Arial"/>
          <w:sz w:val="22"/>
          <w:szCs w:val="22"/>
        </w:rPr>
        <w:t>. Actualmente se considera como una actividad en desarrollo</w:t>
      </w:r>
      <w:r w:rsidRPr="00883E07">
        <w:rPr>
          <w:rFonts w:asciiTheme="majorHAnsi" w:hAnsiTheme="majorHAnsi" w:cs="Arial"/>
          <w:sz w:val="22"/>
          <w:szCs w:val="22"/>
        </w:rPr>
        <w:t xml:space="preserve"> y </w:t>
      </w:r>
      <w:r w:rsidR="00C508EC" w:rsidRPr="00883E07">
        <w:rPr>
          <w:rFonts w:asciiTheme="majorHAnsi" w:hAnsiTheme="majorHAnsi" w:cs="Arial"/>
          <w:sz w:val="22"/>
          <w:szCs w:val="22"/>
        </w:rPr>
        <w:t>a pesar de</w:t>
      </w:r>
      <w:r w:rsidRPr="00883E07">
        <w:rPr>
          <w:rFonts w:asciiTheme="majorHAnsi" w:hAnsiTheme="majorHAnsi" w:cs="Arial"/>
          <w:sz w:val="22"/>
          <w:szCs w:val="22"/>
        </w:rPr>
        <w:t xml:space="preserve"> la </w:t>
      </w:r>
      <w:r w:rsidR="00CC7BFA" w:rsidRPr="00883E07">
        <w:rPr>
          <w:rFonts w:asciiTheme="majorHAnsi" w:hAnsiTheme="majorHAnsi" w:cs="Arial"/>
          <w:sz w:val="22"/>
          <w:szCs w:val="22"/>
        </w:rPr>
        <w:t>reducida</w:t>
      </w:r>
      <w:r w:rsidRPr="00883E07">
        <w:rPr>
          <w:rFonts w:asciiTheme="majorHAnsi" w:hAnsiTheme="majorHAnsi" w:cs="Arial"/>
          <w:sz w:val="22"/>
          <w:szCs w:val="22"/>
        </w:rPr>
        <w:t xml:space="preserve"> inversión en capacitación e investigación tecnológica, </w:t>
      </w:r>
      <w:r w:rsidR="00A47C96" w:rsidRPr="00883E07">
        <w:rPr>
          <w:rFonts w:asciiTheme="majorHAnsi" w:hAnsiTheme="majorHAnsi" w:cs="Arial"/>
          <w:sz w:val="22"/>
          <w:szCs w:val="22"/>
        </w:rPr>
        <w:t xml:space="preserve">se </w:t>
      </w:r>
      <w:r w:rsidRPr="00883E07">
        <w:rPr>
          <w:rFonts w:asciiTheme="majorHAnsi" w:hAnsiTheme="majorHAnsi" w:cs="Arial"/>
          <w:sz w:val="22"/>
          <w:szCs w:val="22"/>
        </w:rPr>
        <w:t xml:space="preserve">ha mostrado un crecimiento sostenido e importante en </w:t>
      </w:r>
      <w:r w:rsidR="00C508EC" w:rsidRPr="00883E07">
        <w:rPr>
          <w:rFonts w:asciiTheme="majorHAnsi" w:hAnsiTheme="majorHAnsi" w:cs="Arial"/>
          <w:sz w:val="22"/>
          <w:szCs w:val="22"/>
        </w:rPr>
        <w:t xml:space="preserve">el país. </w:t>
      </w:r>
      <w:r w:rsidR="004B5B29" w:rsidRPr="00883E07">
        <w:rPr>
          <w:rFonts w:asciiTheme="majorHAnsi" w:hAnsiTheme="majorHAnsi" w:cs="Arial"/>
          <w:sz w:val="22"/>
          <w:szCs w:val="22"/>
        </w:rPr>
        <w:t>D</w:t>
      </w:r>
      <w:r w:rsidRPr="00883E07">
        <w:rPr>
          <w:rFonts w:asciiTheme="majorHAnsi" w:hAnsiTheme="majorHAnsi" w:cs="Arial"/>
          <w:sz w:val="22"/>
          <w:szCs w:val="22"/>
        </w:rPr>
        <w:t xml:space="preserve">icho crecimiento se intensifica notablemente a partir del año 2002, precisamente cuando la regulación tributaria de la acuicultura fue modificada. </w:t>
      </w:r>
    </w:p>
    <w:p w:rsidR="00C508EC" w:rsidRPr="00883E07" w:rsidRDefault="00C508EC" w:rsidP="00C508EC">
      <w:pPr>
        <w:ind w:left="708" w:firstLine="708"/>
        <w:jc w:val="both"/>
        <w:rPr>
          <w:rFonts w:asciiTheme="majorHAnsi" w:hAnsiTheme="majorHAnsi" w:cs="Arial"/>
          <w:sz w:val="22"/>
          <w:szCs w:val="22"/>
        </w:rPr>
      </w:pPr>
    </w:p>
    <w:p w:rsidR="001E78EE" w:rsidRPr="00883E07" w:rsidRDefault="008F7D07" w:rsidP="00D943E0">
      <w:pPr>
        <w:jc w:val="both"/>
        <w:rPr>
          <w:rFonts w:asciiTheme="majorHAnsi" w:hAnsiTheme="majorHAnsi" w:cs="Arial"/>
          <w:sz w:val="22"/>
          <w:szCs w:val="22"/>
        </w:rPr>
      </w:pPr>
      <w:r w:rsidRPr="00883E07">
        <w:rPr>
          <w:rFonts w:asciiTheme="majorHAnsi" w:hAnsiTheme="majorHAnsi" w:cs="Arial"/>
          <w:sz w:val="22"/>
          <w:szCs w:val="22"/>
        </w:rPr>
        <w:t xml:space="preserve">A partir de la entrada en vigencia de la Ley de Promoción y Desarrollo de la Acuicultura y, con ello de los beneficios tributarios establecidos para dicho sector, la actividad acuícola ha presentado un crecimiento considerable y sostenido, registrándose un incremento de los volúmenes de cosecha de 11 534 t en el 2002 </w:t>
      </w:r>
      <w:r w:rsidR="00FE1F69" w:rsidRPr="00883E07">
        <w:rPr>
          <w:rFonts w:asciiTheme="majorHAnsi" w:hAnsiTheme="majorHAnsi" w:cs="Arial"/>
          <w:sz w:val="22"/>
          <w:szCs w:val="22"/>
        </w:rPr>
        <w:t xml:space="preserve">con un valor de alrededor de </w:t>
      </w:r>
      <w:r w:rsidR="0051471E" w:rsidRPr="00883E07">
        <w:rPr>
          <w:rFonts w:asciiTheme="majorHAnsi" w:hAnsiTheme="majorHAnsi" w:cs="Arial"/>
          <w:sz w:val="22"/>
          <w:szCs w:val="22"/>
        </w:rPr>
        <w:t xml:space="preserve">poco más de 4 </w:t>
      </w:r>
      <w:r w:rsidR="00FE1F69" w:rsidRPr="00883E07">
        <w:rPr>
          <w:rFonts w:asciiTheme="majorHAnsi" w:hAnsiTheme="majorHAnsi" w:cs="Arial"/>
          <w:sz w:val="22"/>
          <w:szCs w:val="22"/>
        </w:rPr>
        <w:t xml:space="preserve">millones de </w:t>
      </w:r>
      <w:r w:rsidR="0051471E" w:rsidRPr="00883E07">
        <w:rPr>
          <w:rFonts w:asciiTheme="majorHAnsi" w:hAnsiTheme="majorHAnsi" w:cs="Arial"/>
          <w:sz w:val="22"/>
          <w:szCs w:val="22"/>
        </w:rPr>
        <w:t xml:space="preserve">dólares </w:t>
      </w:r>
      <w:r w:rsidRPr="00883E07">
        <w:rPr>
          <w:rFonts w:asciiTheme="majorHAnsi" w:hAnsiTheme="majorHAnsi" w:cs="Arial"/>
          <w:sz w:val="22"/>
          <w:szCs w:val="22"/>
        </w:rPr>
        <w:t xml:space="preserve">a </w:t>
      </w:r>
      <w:r w:rsidR="0051471E" w:rsidRPr="00883E07">
        <w:rPr>
          <w:rFonts w:asciiTheme="majorHAnsi" w:hAnsiTheme="majorHAnsi" w:cs="Arial"/>
          <w:sz w:val="22"/>
          <w:szCs w:val="22"/>
        </w:rPr>
        <w:t>92</w:t>
      </w:r>
      <w:r w:rsidRPr="00883E07">
        <w:rPr>
          <w:rFonts w:asciiTheme="majorHAnsi" w:hAnsiTheme="majorHAnsi" w:cs="Arial"/>
          <w:sz w:val="22"/>
          <w:szCs w:val="22"/>
        </w:rPr>
        <w:t xml:space="preserve"> </w:t>
      </w:r>
      <w:r w:rsidR="0051471E" w:rsidRPr="00883E07">
        <w:rPr>
          <w:rFonts w:asciiTheme="majorHAnsi" w:hAnsiTheme="majorHAnsi" w:cs="Arial"/>
          <w:sz w:val="22"/>
          <w:szCs w:val="22"/>
        </w:rPr>
        <w:t>200</w:t>
      </w:r>
      <w:r w:rsidRPr="00883E07">
        <w:rPr>
          <w:rFonts w:asciiTheme="majorHAnsi" w:hAnsiTheme="majorHAnsi" w:cs="Arial"/>
          <w:sz w:val="22"/>
          <w:szCs w:val="22"/>
        </w:rPr>
        <w:t xml:space="preserve"> t en el 20</w:t>
      </w:r>
      <w:r w:rsidR="0051471E" w:rsidRPr="00883E07">
        <w:rPr>
          <w:rFonts w:asciiTheme="majorHAnsi" w:hAnsiTheme="majorHAnsi" w:cs="Arial"/>
          <w:sz w:val="22"/>
          <w:szCs w:val="22"/>
        </w:rPr>
        <w:t>11</w:t>
      </w:r>
      <w:r w:rsidR="00FE1F69" w:rsidRPr="00883E07">
        <w:rPr>
          <w:rFonts w:asciiTheme="majorHAnsi" w:hAnsiTheme="majorHAnsi" w:cs="Arial"/>
          <w:sz w:val="22"/>
          <w:szCs w:val="22"/>
        </w:rPr>
        <w:t xml:space="preserve"> con un valor aproximado de </w:t>
      </w:r>
      <w:r w:rsidR="0051471E" w:rsidRPr="00883E07">
        <w:rPr>
          <w:rFonts w:asciiTheme="majorHAnsi" w:hAnsiTheme="majorHAnsi" w:cs="Arial"/>
          <w:sz w:val="22"/>
          <w:szCs w:val="22"/>
        </w:rPr>
        <w:t>3</w:t>
      </w:r>
      <w:r w:rsidR="00FE1F69" w:rsidRPr="00883E07">
        <w:rPr>
          <w:rFonts w:asciiTheme="majorHAnsi" w:hAnsiTheme="majorHAnsi" w:cs="Arial"/>
          <w:sz w:val="22"/>
          <w:szCs w:val="22"/>
        </w:rPr>
        <w:t xml:space="preserve">20 millones de </w:t>
      </w:r>
      <w:r w:rsidR="0051471E" w:rsidRPr="00883E07">
        <w:rPr>
          <w:rFonts w:asciiTheme="majorHAnsi" w:hAnsiTheme="majorHAnsi" w:cs="Arial"/>
          <w:sz w:val="22"/>
          <w:szCs w:val="22"/>
        </w:rPr>
        <w:t>dólares</w:t>
      </w:r>
      <w:r w:rsidRPr="00883E07">
        <w:rPr>
          <w:rFonts w:asciiTheme="majorHAnsi" w:hAnsiTheme="majorHAnsi" w:cs="Arial"/>
          <w:sz w:val="22"/>
          <w:szCs w:val="22"/>
        </w:rPr>
        <w:t>. Cabe señalar que a pesar que los precios en los mercados cayeron en el año 2009 frente al 2008, se ha mantenido la actividad registra</w:t>
      </w:r>
      <w:r w:rsidR="0051471E" w:rsidRPr="00883E07">
        <w:rPr>
          <w:rFonts w:asciiTheme="majorHAnsi" w:hAnsiTheme="majorHAnsi" w:cs="Arial"/>
          <w:sz w:val="22"/>
          <w:szCs w:val="22"/>
        </w:rPr>
        <w:t>n</w:t>
      </w:r>
      <w:r w:rsidRPr="00883E07">
        <w:rPr>
          <w:rFonts w:asciiTheme="majorHAnsi" w:hAnsiTheme="majorHAnsi" w:cs="Arial"/>
          <w:sz w:val="22"/>
          <w:szCs w:val="22"/>
        </w:rPr>
        <w:t>do crecimiento</w:t>
      </w:r>
      <w:r w:rsidR="0051471E" w:rsidRPr="00883E07">
        <w:rPr>
          <w:rFonts w:asciiTheme="majorHAnsi" w:hAnsiTheme="majorHAnsi" w:cs="Arial"/>
          <w:sz w:val="22"/>
          <w:szCs w:val="22"/>
        </w:rPr>
        <w:t>s importantes</w:t>
      </w:r>
      <w:r w:rsidRPr="00883E07">
        <w:rPr>
          <w:rFonts w:asciiTheme="majorHAnsi" w:hAnsiTheme="majorHAnsi" w:cs="Arial"/>
          <w:sz w:val="22"/>
          <w:szCs w:val="22"/>
        </w:rPr>
        <w:t xml:space="preserve">, en el caso de la acuicultura langostinera ésta creció a un ritmo </w:t>
      </w:r>
      <w:r w:rsidR="0051471E" w:rsidRPr="00883E07">
        <w:rPr>
          <w:rFonts w:asciiTheme="majorHAnsi" w:hAnsiTheme="majorHAnsi" w:cs="Arial"/>
          <w:sz w:val="22"/>
          <w:szCs w:val="22"/>
        </w:rPr>
        <w:t xml:space="preserve">moderado </w:t>
      </w:r>
      <w:r w:rsidRPr="00883E07">
        <w:rPr>
          <w:rFonts w:asciiTheme="majorHAnsi" w:hAnsiTheme="majorHAnsi" w:cs="Arial"/>
          <w:sz w:val="22"/>
          <w:szCs w:val="22"/>
        </w:rPr>
        <w:t>a pesar de haber afrontado los problemas de la crisis mundial (caída de precios y detención de pedidos del exterior)</w:t>
      </w:r>
      <w:r w:rsidR="0051471E" w:rsidRPr="00883E07">
        <w:rPr>
          <w:rFonts w:asciiTheme="majorHAnsi" w:hAnsiTheme="majorHAnsi" w:cs="Arial"/>
          <w:sz w:val="22"/>
          <w:szCs w:val="22"/>
        </w:rPr>
        <w:t xml:space="preserve">, presencia de enfermedades como la mancha blanca, fenómenos climáticos adversos </w:t>
      </w:r>
      <w:r w:rsidRPr="00883E07">
        <w:rPr>
          <w:rFonts w:asciiTheme="majorHAnsi" w:hAnsiTheme="majorHAnsi" w:cs="Arial"/>
          <w:sz w:val="22"/>
          <w:szCs w:val="22"/>
        </w:rPr>
        <w:t xml:space="preserve">y la reducción drástica de los cultivos intensivos, justamente por problemas de costos frente a los precios de venta. Además ésta industria fue afectada en el 2009 por la reaparición de algunas enfermedades como la mancha blanca, aunque </w:t>
      </w:r>
      <w:r w:rsidR="00A47C96" w:rsidRPr="00883E07">
        <w:rPr>
          <w:rFonts w:asciiTheme="majorHAnsi" w:hAnsiTheme="majorHAnsi" w:cs="Arial"/>
          <w:sz w:val="22"/>
          <w:szCs w:val="22"/>
        </w:rPr>
        <w:t>pese a no ser en forma endémica</w:t>
      </w:r>
      <w:r w:rsidRPr="00883E07">
        <w:rPr>
          <w:rFonts w:asciiTheme="majorHAnsi" w:hAnsiTheme="majorHAnsi" w:cs="Arial"/>
          <w:sz w:val="22"/>
          <w:szCs w:val="22"/>
        </w:rPr>
        <w:t xml:space="preserve">, hubo brotes que afectaron los rendimientos). El mantenimiento de la producción se dio gracias a los incentivos tributarios, ya que con un aumento en la tasa del Impuesto a la Renta, prácticamente se perdería la utilidad en un cultivo que demanda fuerte inversión y que es riesgoso, situación que puede amenazar la permanencia de la actividad y con ésta la oferta de empleo y la dinámica económica de fuerte importancia en el </w:t>
      </w:r>
      <w:r w:rsidR="00CC7BFA" w:rsidRPr="00883E07">
        <w:rPr>
          <w:rFonts w:asciiTheme="majorHAnsi" w:hAnsiTheme="majorHAnsi" w:cs="Arial"/>
          <w:sz w:val="22"/>
          <w:szCs w:val="22"/>
        </w:rPr>
        <w:t>d</w:t>
      </w:r>
      <w:r w:rsidRPr="00883E07">
        <w:rPr>
          <w:rFonts w:asciiTheme="majorHAnsi" w:hAnsiTheme="majorHAnsi" w:cs="Arial"/>
          <w:sz w:val="22"/>
          <w:szCs w:val="22"/>
        </w:rPr>
        <w:t>epartamento de Tumbes.</w:t>
      </w:r>
    </w:p>
    <w:p w:rsidR="008A58B7" w:rsidRPr="00883E07" w:rsidRDefault="008A58B7" w:rsidP="00D943E0">
      <w:pPr>
        <w:jc w:val="both"/>
        <w:rPr>
          <w:rFonts w:asciiTheme="majorHAnsi" w:hAnsiTheme="majorHAnsi" w:cs="Arial"/>
          <w:sz w:val="22"/>
          <w:szCs w:val="22"/>
        </w:rPr>
      </w:pPr>
    </w:p>
    <w:p w:rsidR="008A58B7" w:rsidRPr="00883E07" w:rsidRDefault="008A58B7" w:rsidP="00D943E0">
      <w:pPr>
        <w:jc w:val="both"/>
        <w:rPr>
          <w:rFonts w:asciiTheme="majorHAnsi" w:hAnsiTheme="majorHAnsi" w:cs="Arial"/>
          <w:sz w:val="22"/>
          <w:szCs w:val="22"/>
        </w:rPr>
      </w:pPr>
      <w:r w:rsidRPr="00883E07">
        <w:rPr>
          <w:rFonts w:asciiTheme="majorHAnsi" w:hAnsiTheme="majorHAnsi" w:cs="Arial"/>
          <w:sz w:val="22"/>
          <w:szCs w:val="22"/>
        </w:rPr>
        <w:t xml:space="preserve">Cabe indicar que </w:t>
      </w:r>
      <w:r w:rsidR="00517578" w:rsidRPr="00883E07">
        <w:rPr>
          <w:rFonts w:asciiTheme="majorHAnsi" w:hAnsiTheme="majorHAnsi" w:cs="Arial"/>
          <w:sz w:val="22"/>
          <w:szCs w:val="22"/>
        </w:rPr>
        <w:t xml:space="preserve">los costos directos </w:t>
      </w:r>
      <w:r w:rsidRPr="00883E07">
        <w:rPr>
          <w:rFonts w:asciiTheme="majorHAnsi" w:hAnsiTheme="majorHAnsi" w:cs="Arial"/>
          <w:sz w:val="22"/>
          <w:szCs w:val="22"/>
        </w:rPr>
        <w:t xml:space="preserve"> de una operación acuícola, </w:t>
      </w:r>
      <w:r w:rsidR="005A2313" w:rsidRPr="00883E07">
        <w:rPr>
          <w:rFonts w:asciiTheme="majorHAnsi" w:hAnsiTheme="majorHAnsi" w:cs="Arial"/>
          <w:sz w:val="22"/>
          <w:szCs w:val="22"/>
        </w:rPr>
        <w:t>son alimentos 6</w:t>
      </w:r>
      <w:r w:rsidR="00517578" w:rsidRPr="00883E07">
        <w:rPr>
          <w:rFonts w:asciiTheme="majorHAnsi" w:hAnsiTheme="majorHAnsi" w:cs="Arial"/>
          <w:sz w:val="22"/>
          <w:szCs w:val="22"/>
        </w:rPr>
        <w:t xml:space="preserve">0%, mano de obra </w:t>
      </w:r>
      <w:r w:rsidR="005A2313" w:rsidRPr="00883E07">
        <w:rPr>
          <w:rFonts w:asciiTheme="majorHAnsi" w:hAnsiTheme="majorHAnsi" w:cs="Arial"/>
          <w:sz w:val="22"/>
          <w:szCs w:val="22"/>
        </w:rPr>
        <w:t>15</w:t>
      </w:r>
      <w:r w:rsidR="00517578" w:rsidRPr="00883E07">
        <w:rPr>
          <w:rFonts w:asciiTheme="majorHAnsi" w:hAnsiTheme="majorHAnsi" w:cs="Arial"/>
          <w:sz w:val="22"/>
          <w:szCs w:val="22"/>
        </w:rPr>
        <w:t>%, proceso y empaque 1</w:t>
      </w:r>
      <w:r w:rsidR="005A2313" w:rsidRPr="00883E07">
        <w:rPr>
          <w:rFonts w:asciiTheme="majorHAnsi" w:hAnsiTheme="majorHAnsi" w:cs="Arial"/>
          <w:sz w:val="22"/>
          <w:szCs w:val="22"/>
        </w:rPr>
        <w:t>0</w:t>
      </w:r>
      <w:r w:rsidR="00517578" w:rsidRPr="00883E07">
        <w:rPr>
          <w:rFonts w:asciiTheme="majorHAnsi" w:hAnsiTheme="majorHAnsi" w:cs="Arial"/>
          <w:sz w:val="22"/>
          <w:szCs w:val="22"/>
        </w:rPr>
        <w:t xml:space="preserve">%, larva y semilla </w:t>
      </w:r>
      <w:r w:rsidR="005A2313" w:rsidRPr="00883E07">
        <w:rPr>
          <w:rFonts w:asciiTheme="majorHAnsi" w:hAnsiTheme="majorHAnsi" w:cs="Arial"/>
          <w:sz w:val="22"/>
          <w:szCs w:val="22"/>
        </w:rPr>
        <w:t>5</w:t>
      </w:r>
      <w:r w:rsidR="00517578" w:rsidRPr="00883E07">
        <w:rPr>
          <w:rFonts w:asciiTheme="majorHAnsi" w:hAnsiTheme="majorHAnsi" w:cs="Arial"/>
          <w:sz w:val="22"/>
          <w:szCs w:val="22"/>
        </w:rPr>
        <w:t xml:space="preserve">% energía </w:t>
      </w:r>
      <w:r w:rsidR="005A2313" w:rsidRPr="00883E07">
        <w:rPr>
          <w:rFonts w:asciiTheme="majorHAnsi" w:hAnsiTheme="majorHAnsi" w:cs="Arial"/>
          <w:sz w:val="22"/>
          <w:szCs w:val="22"/>
        </w:rPr>
        <w:t>5</w:t>
      </w:r>
      <w:r w:rsidR="00517578" w:rsidRPr="00883E07">
        <w:rPr>
          <w:rFonts w:asciiTheme="majorHAnsi" w:hAnsiTheme="majorHAnsi" w:cs="Arial"/>
          <w:sz w:val="22"/>
          <w:szCs w:val="22"/>
        </w:rPr>
        <w:t>% y otros 5%</w:t>
      </w:r>
      <w:r w:rsidR="00C53FD6" w:rsidRPr="00883E07">
        <w:rPr>
          <w:rFonts w:asciiTheme="majorHAnsi" w:hAnsiTheme="majorHAnsi" w:cs="Arial"/>
          <w:sz w:val="22"/>
          <w:szCs w:val="22"/>
        </w:rPr>
        <w:t xml:space="preserve"> </w:t>
      </w:r>
    </w:p>
    <w:p w:rsidR="00E072F8" w:rsidRPr="00883E07" w:rsidRDefault="00E072F8" w:rsidP="00D943E0">
      <w:pPr>
        <w:jc w:val="both"/>
        <w:rPr>
          <w:rFonts w:asciiTheme="majorHAnsi" w:hAnsiTheme="majorHAnsi" w:cs="Arial"/>
          <w:sz w:val="22"/>
          <w:szCs w:val="22"/>
        </w:rPr>
      </w:pPr>
    </w:p>
    <w:p w:rsidR="00E072F8" w:rsidRPr="00883E07" w:rsidRDefault="00E072F8" w:rsidP="00D943E0">
      <w:pPr>
        <w:jc w:val="both"/>
        <w:rPr>
          <w:rFonts w:asciiTheme="majorHAnsi" w:hAnsiTheme="majorHAnsi" w:cs="Arial"/>
          <w:sz w:val="22"/>
          <w:szCs w:val="22"/>
        </w:rPr>
      </w:pPr>
      <w:r w:rsidRPr="00883E07">
        <w:rPr>
          <w:rFonts w:asciiTheme="majorHAnsi" w:hAnsiTheme="majorHAnsi" w:cs="Arial"/>
          <w:sz w:val="22"/>
          <w:szCs w:val="22"/>
        </w:rPr>
        <w:t xml:space="preserve">De otro lado, los niveles de inversión varían según la especie y </w:t>
      </w:r>
      <w:r w:rsidR="00FE1F69" w:rsidRPr="00883E07">
        <w:rPr>
          <w:rFonts w:asciiTheme="majorHAnsi" w:hAnsiTheme="majorHAnsi" w:cs="Arial"/>
          <w:sz w:val="22"/>
          <w:szCs w:val="22"/>
        </w:rPr>
        <w:t>el</w:t>
      </w:r>
      <w:r w:rsidRPr="00883E07">
        <w:rPr>
          <w:rFonts w:asciiTheme="majorHAnsi" w:hAnsiTheme="majorHAnsi" w:cs="Arial"/>
          <w:sz w:val="22"/>
          <w:szCs w:val="22"/>
        </w:rPr>
        <w:t xml:space="preserve"> nivel de producción</w:t>
      </w:r>
      <w:r w:rsidR="00FE1F69" w:rsidRPr="00883E07">
        <w:rPr>
          <w:rFonts w:asciiTheme="majorHAnsi" w:hAnsiTheme="majorHAnsi" w:cs="Arial"/>
          <w:sz w:val="22"/>
          <w:szCs w:val="22"/>
        </w:rPr>
        <w:t xml:space="preserve"> utilizado</w:t>
      </w:r>
      <w:r w:rsidR="008811E0" w:rsidRPr="00883E07">
        <w:rPr>
          <w:rFonts w:asciiTheme="majorHAnsi" w:hAnsiTheme="majorHAnsi" w:cs="Arial"/>
          <w:sz w:val="22"/>
          <w:szCs w:val="22"/>
        </w:rPr>
        <w:t>. Para el caso de langostinos se estiman inversiones que van de 15</w:t>
      </w:r>
      <w:r w:rsidR="00AB6755" w:rsidRPr="00883E07">
        <w:rPr>
          <w:rFonts w:asciiTheme="majorHAnsi" w:hAnsiTheme="majorHAnsi" w:cs="Arial"/>
          <w:sz w:val="22"/>
          <w:szCs w:val="22"/>
        </w:rPr>
        <w:t xml:space="preserve"> mil</w:t>
      </w:r>
      <w:r w:rsidR="008811E0" w:rsidRPr="00883E07">
        <w:rPr>
          <w:rFonts w:asciiTheme="majorHAnsi" w:hAnsiTheme="majorHAnsi" w:cs="Arial"/>
          <w:sz w:val="22"/>
          <w:szCs w:val="22"/>
        </w:rPr>
        <w:t xml:space="preserve"> a 80 mil dólares por hectárea; para el caso de trucha la inversión se encuentra alrededor de 60 mil dólares por hectárea y para el caso de concha de abanico</w:t>
      </w:r>
      <w:r w:rsidR="003C3677" w:rsidRPr="00883E07">
        <w:rPr>
          <w:rFonts w:asciiTheme="majorHAnsi" w:hAnsiTheme="majorHAnsi" w:cs="Arial"/>
          <w:sz w:val="22"/>
          <w:szCs w:val="22"/>
        </w:rPr>
        <w:t xml:space="preserve"> de 13 </w:t>
      </w:r>
      <w:r w:rsidR="00AB6755" w:rsidRPr="00883E07">
        <w:rPr>
          <w:rFonts w:asciiTheme="majorHAnsi" w:hAnsiTheme="majorHAnsi" w:cs="Arial"/>
          <w:sz w:val="22"/>
          <w:szCs w:val="22"/>
        </w:rPr>
        <w:t xml:space="preserve">mil </w:t>
      </w:r>
      <w:r w:rsidR="00674CCE" w:rsidRPr="00883E07">
        <w:rPr>
          <w:rFonts w:asciiTheme="majorHAnsi" w:hAnsiTheme="majorHAnsi" w:cs="Arial"/>
          <w:sz w:val="22"/>
          <w:szCs w:val="22"/>
        </w:rPr>
        <w:t xml:space="preserve">a 16 </w:t>
      </w:r>
      <w:r w:rsidR="003C3677" w:rsidRPr="00883E07">
        <w:rPr>
          <w:rFonts w:asciiTheme="majorHAnsi" w:hAnsiTheme="majorHAnsi" w:cs="Arial"/>
          <w:sz w:val="22"/>
          <w:szCs w:val="22"/>
        </w:rPr>
        <w:t>mil dólares por hectárea en cultivo suspendido.</w:t>
      </w:r>
    </w:p>
    <w:p w:rsidR="003A7B14" w:rsidRPr="00883E07" w:rsidRDefault="003A7B14" w:rsidP="00D943E0">
      <w:pPr>
        <w:jc w:val="both"/>
        <w:rPr>
          <w:rFonts w:asciiTheme="majorHAnsi" w:hAnsiTheme="majorHAnsi" w:cs="Arial"/>
          <w:sz w:val="22"/>
          <w:szCs w:val="22"/>
        </w:rPr>
      </w:pPr>
    </w:p>
    <w:p w:rsidR="008E3689" w:rsidRPr="00883E07" w:rsidRDefault="00A8462A" w:rsidP="008E3689">
      <w:pPr>
        <w:jc w:val="both"/>
        <w:rPr>
          <w:rFonts w:asciiTheme="majorHAnsi" w:hAnsiTheme="majorHAnsi" w:cs="Arial"/>
          <w:sz w:val="22"/>
          <w:szCs w:val="22"/>
        </w:rPr>
      </w:pPr>
      <w:bookmarkStart w:id="5" w:name="OLE_LINK27"/>
      <w:bookmarkStart w:id="6" w:name="OLE_LINK28"/>
      <w:r w:rsidRPr="00883E07">
        <w:rPr>
          <w:rFonts w:asciiTheme="majorHAnsi" w:hAnsiTheme="majorHAnsi" w:cs="Arial"/>
          <w:sz w:val="22"/>
          <w:szCs w:val="22"/>
        </w:rPr>
        <w:t xml:space="preserve">Cabe señalar que </w:t>
      </w:r>
      <w:r w:rsidR="007C7B74" w:rsidRPr="00883E07">
        <w:rPr>
          <w:rFonts w:asciiTheme="majorHAnsi" w:hAnsiTheme="majorHAnsi" w:cs="Arial"/>
          <w:sz w:val="22"/>
          <w:szCs w:val="22"/>
        </w:rPr>
        <w:t xml:space="preserve">según la información proporcionada por el Instituto Nacional de Estadística e Informática, </w:t>
      </w:r>
      <w:r w:rsidRPr="00883E07">
        <w:rPr>
          <w:rFonts w:asciiTheme="majorHAnsi" w:hAnsiTheme="majorHAnsi" w:cs="Arial"/>
          <w:sz w:val="22"/>
          <w:szCs w:val="22"/>
        </w:rPr>
        <w:t xml:space="preserve">la participación del sector pesca en el PBI nacional se ha mantenido estable en la última década, encontrándose en promedio en 0,5 %; sin embargo, se estima que la participación de la actividad de acuicultura ha </w:t>
      </w:r>
      <w:r w:rsidR="00A33F15" w:rsidRPr="00883E07">
        <w:rPr>
          <w:rFonts w:asciiTheme="majorHAnsi" w:hAnsiTheme="majorHAnsi" w:cs="Arial"/>
          <w:sz w:val="22"/>
          <w:szCs w:val="22"/>
        </w:rPr>
        <w:t>c</w:t>
      </w:r>
      <w:r w:rsidRPr="00883E07">
        <w:rPr>
          <w:rFonts w:asciiTheme="majorHAnsi" w:hAnsiTheme="majorHAnsi" w:cs="Arial"/>
          <w:sz w:val="22"/>
          <w:szCs w:val="22"/>
        </w:rPr>
        <w:t>re</w:t>
      </w:r>
      <w:r w:rsidR="00A33F15" w:rsidRPr="00883E07">
        <w:rPr>
          <w:rFonts w:asciiTheme="majorHAnsi" w:hAnsiTheme="majorHAnsi" w:cs="Arial"/>
          <w:sz w:val="22"/>
          <w:szCs w:val="22"/>
        </w:rPr>
        <w:t>ci</w:t>
      </w:r>
      <w:r w:rsidR="0018062A" w:rsidRPr="00883E07">
        <w:rPr>
          <w:rFonts w:asciiTheme="majorHAnsi" w:hAnsiTheme="majorHAnsi" w:cs="Arial"/>
          <w:sz w:val="22"/>
          <w:szCs w:val="22"/>
        </w:rPr>
        <w:t>do</w:t>
      </w:r>
      <w:r w:rsidR="00A33F15" w:rsidRPr="00883E07">
        <w:rPr>
          <w:rFonts w:asciiTheme="majorHAnsi" w:hAnsiTheme="majorHAnsi" w:cs="Arial"/>
          <w:sz w:val="22"/>
          <w:szCs w:val="22"/>
        </w:rPr>
        <w:t xml:space="preserve"> </w:t>
      </w:r>
      <w:r w:rsidRPr="00883E07">
        <w:rPr>
          <w:rFonts w:asciiTheme="majorHAnsi" w:hAnsiTheme="majorHAnsi" w:cs="Arial"/>
          <w:sz w:val="22"/>
          <w:szCs w:val="22"/>
        </w:rPr>
        <w:t>a medida que se han incrementado los volúmenes de producción</w:t>
      </w:r>
      <w:r w:rsidR="0091006D" w:rsidRPr="00883E07">
        <w:rPr>
          <w:rFonts w:asciiTheme="majorHAnsi" w:hAnsiTheme="majorHAnsi" w:cs="Arial"/>
          <w:sz w:val="22"/>
          <w:szCs w:val="22"/>
        </w:rPr>
        <w:t xml:space="preserve"> (tasa de 19 %) y </w:t>
      </w:r>
      <w:r w:rsidR="00F93834" w:rsidRPr="00883E07">
        <w:rPr>
          <w:rFonts w:asciiTheme="majorHAnsi" w:hAnsiTheme="majorHAnsi" w:cs="Arial"/>
          <w:sz w:val="22"/>
          <w:szCs w:val="22"/>
        </w:rPr>
        <w:t xml:space="preserve">el valor </w:t>
      </w:r>
      <w:r w:rsidR="0091006D" w:rsidRPr="00883E07">
        <w:rPr>
          <w:rFonts w:asciiTheme="majorHAnsi" w:hAnsiTheme="majorHAnsi" w:cs="Arial"/>
          <w:sz w:val="22"/>
          <w:szCs w:val="22"/>
        </w:rPr>
        <w:t xml:space="preserve">de </w:t>
      </w:r>
      <w:r w:rsidR="00F93834" w:rsidRPr="00883E07">
        <w:rPr>
          <w:rFonts w:asciiTheme="majorHAnsi" w:hAnsiTheme="majorHAnsi" w:cs="Arial"/>
          <w:sz w:val="22"/>
          <w:szCs w:val="22"/>
        </w:rPr>
        <w:t xml:space="preserve">las </w:t>
      </w:r>
      <w:r w:rsidR="0091006D" w:rsidRPr="00883E07">
        <w:rPr>
          <w:rFonts w:asciiTheme="majorHAnsi" w:hAnsiTheme="majorHAnsi" w:cs="Arial"/>
          <w:sz w:val="22"/>
          <w:szCs w:val="22"/>
        </w:rPr>
        <w:t>exportaci</w:t>
      </w:r>
      <w:r w:rsidR="00F93834" w:rsidRPr="00883E07">
        <w:rPr>
          <w:rFonts w:asciiTheme="majorHAnsi" w:hAnsiTheme="majorHAnsi" w:cs="Arial"/>
          <w:sz w:val="22"/>
          <w:szCs w:val="22"/>
        </w:rPr>
        <w:t>ones</w:t>
      </w:r>
      <w:r w:rsidR="0091006D" w:rsidRPr="00883E07">
        <w:rPr>
          <w:rFonts w:asciiTheme="majorHAnsi" w:hAnsiTheme="majorHAnsi" w:cs="Arial"/>
          <w:sz w:val="22"/>
          <w:szCs w:val="22"/>
        </w:rPr>
        <w:t xml:space="preserve"> (</w:t>
      </w:r>
      <w:r w:rsidR="001B4EF3" w:rsidRPr="00883E07">
        <w:rPr>
          <w:rFonts w:asciiTheme="majorHAnsi" w:hAnsiTheme="majorHAnsi" w:cs="Arial"/>
          <w:sz w:val="22"/>
          <w:szCs w:val="22"/>
        </w:rPr>
        <w:t>22%)</w:t>
      </w:r>
      <w:r w:rsidR="0074487D" w:rsidRPr="00883E07">
        <w:rPr>
          <w:rFonts w:asciiTheme="majorHAnsi" w:hAnsiTheme="majorHAnsi" w:cs="Arial"/>
          <w:sz w:val="22"/>
          <w:szCs w:val="22"/>
        </w:rPr>
        <w:t>, vincula</w:t>
      </w:r>
      <w:r w:rsidR="001B4EF3" w:rsidRPr="00883E07">
        <w:rPr>
          <w:rFonts w:asciiTheme="majorHAnsi" w:hAnsiTheme="majorHAnsi" w:cs="Arial"/>
          <w:sz w:val="22"/>
          <w:szCs w:val="22"/>
        </w:rPr>
        <w:t>n</w:t>
      </w:r>
      <w:r w:rsidR="00F93834" w:rsidRPr="00883E07">
        <w:rPr>
          <w:rFonts w:asciiTheme="majorHAnsi" w:hAnsiTheme="majorHAnsi" w:cs="Arial"/>
          <w:sz w:val="22"/>
          <w:szCs w:val="22"/>
        </w:rPr>
        <w:t>do estas cifras</w:t>
      </w:r>
      <w:r w:rsidR="0074487D" w:rsidRPr="00883E07">
        <w:rPr>
          <w:rFonts w:asciiTheme="majorHAnsi" w:hAnsiTheme="majorHAnsi" w:cs="Arial"/>
          <w:sz w:val="22"/>
          <w:szCs w:val="22"/>
        </w:rPr>
        <w:t xml:space="preserve"> principalmente </w:t>
      </w:r>
      <w:r w:rsidR="001B4EF3" w:rsidRPr="00883E07">
        <w:rPr>
          <w:rFonts w:asciiTheme="majorHAnsi" w:hAnsiTheme="majorHAnsi" w:cs="Arial"/>
          <w:sz w:val="22"/>
          <w:szCs w:val="22"/>
        </w:rPr>
        <w:t xml:space="preserve">al período de vigencia </w:t>
      </w:r>
      <w:r w:rsidR="0074487D" w:rsidRPr="00883E07">
        <w:rPr>
          <w:rFonts w:asciiTheme="majorHAnsi" w:hAnsiTheme="majorHAnsi" w:cs="Arial"/>
          <w:sz w:val="22"/>
          <w:szCs w:val="22"/>
        </w:rPr>
        <w:t>del régimen de beneficios tributarios contenido</w:t>
      </w:r>
      <w:r w:rsidR="001B4EF3" w:rsidRPr="00883E07">
        <w:rPr>
          <w:rFonts w:asciiTheme="majorHAnsi" w:hAnsiTheme="majorHAnsi" w:cs="Arial"/>
          <w:sz w:val="22"/>
          <w:szCs w:val="22"/>
        </w:rPr>
        <w:t>s</w:t>
      </w:r>
      <w:r w:rsidR="0074487D" w:rsidRPr="00883E07">
        <w:rPr>
          <w:rFonts w:asciiTheme="majorHAnsi" w:hAnsiTheme="majorHAnsi" w:cs="Arial"/>
          <w:sz w:val="22"/>
          <w:szCs w:val="22"/>
        </w:rPr>
        <w:t xml:space="preserve"> en la Ley N° 27460.</w:t>
      </w:r>
    </w:p>
    <w:p w:rsidR="00EC0DF9" w:rsidRPr="00883E07" w:rsidRDefault="00EC0DF9" w:rsidP="008E3689">
      <w:pPr>
        <w:jc w:val="both"/>
        <w:rPr>
          <w:rFonts w:asciiTheme="majorHAnsi" w:hAnsiTheme="majorHAnsi" w:cs="Arial"/>
          <w:sz w:val="22"/>
          <w:szCs w:val="22"/>
        </w:rPr>
      </w:pPr>
    </w:p>
    <w:p w:rsidR="006857D7" w:rsidRPr="00883E07" w:rsidRDefault="00443628" w:rsidP="008E3689">
      <w:pPr>
        <w:jc w:val="both"/>
        <w:rPr>
          <w:rFonts w:asciiTheme="majorHAnsi" w:hAnsiTheme="majorHAnsi" w:cs="Arial"/>
          <w:sz w:val="22"/>
          <w:szCs w:val="22"/>
        </w:rPr>
      </w:pPr>
      <w:r w:rsidRPr="00883E07">
        <w:rPr>
          <w:rFonts w:asciiTheme="majorHAnsi" w:hAnsiTheme="majorHAnsi" w:cs="Arial"/>
          <w:sz w:val="22"/>
          <w:szCs w:val="22"/>
          <w:lang w:val="es-PE" w:eastAsia="es-PE"/>
        </w:rPr>
        <w:t xml:space="preserve">De lo expuesto, se puede comprender la importancia de mantener los incentivos tributarios, pues al ser un sector en crecimiento, corresponde instrumentalizar distintas acciones para alcanzar los estimados proyectados al 2015, más </w:t>
      </w:r>
      <w:proofErr w:type="spellStart"/>
      <w:r w:rsidRPr="00883E07">
        <w:rPr>
          <w:rFonts w:asciiTheme="majorHAnsi" w:hAnsiTheme="majorHAnsi" w:cs="Arial"/>
          <w:sz w:val="22"/>
          <w:szCs w:val="22"/>
          <w:lang w:val="es-PE" w:eastAsia="es-PE"/>
        </w:rPr>
        <w:t>aún</w:t>
      </w:r>
      <w:proofErr w:type="spellEnd"/>
      <w:r w:rsidRPr="00883E07">
        <w:rPr>
          <w:rFonts w:asciiTheme="majorHAnsi" w:hAnsiTheme="majorHAnsi" w:cs="Arial"/>
          <w:sz w:val="22"/>
          <w:szCs w:val="22"/>
          <w:lang w:val="es-PE" w:eastAsia="es-PE"/>
        </w:rPr>
        <w:t xml:space="preserve"> evidenciándose el favorable desenvolvimiento del sector acuícola </w:t>
      </w:r>
      <w:r w:rsidR="00EC0DF9" w:rsidRPr="00883E07">
        <w:rPr>
          <w:rFonts w:asciiTheme="majorHAnsi" w:hAnsiTheme="majorHAnsi" w:cs="Arial"/>
          <w:sz w:val="22"/>
          <w:szCs w:val="22"/>
          <w:lang w:val="es-PE" w:eastAsia="es-PE"/>
        </w:rPr>
        <w:t xml:space="preserve">luego de la promulgación </w:t>
      </w:r>
      <w:r w:rsidRPr="00883E07">
        <w:rPr>
          <w:rFonts w:asciiTheme="majorHAnsi" w:hAnsiTheme="majorHAnsi" w:cs="Arial"/>
          <w:sz w:val="22"/>
          <w:szCs w:val="22"/>
          <w:lang w:val="es-PE" w:eastAsia="es-PE"/>
        </w:rPr>
        <w:t>de la Ley N° 27460</w:t>
      </w:r>
      <w:r w:rsidR="00EC0DF9" w:rsidRPr="00883E07">
        <w:rPr>
          <w:rFonts w:asciiTheme="majorHAnsi" w:hAnsiTheme="majorHAnsi" w:cs="Arial"/>
          <w:sz w:val="22"/>
          <w:szCs w:val="22"/>
          <w:lang w:val="es-PE" w:eastAsia="es-PE"/>
        </w:rPr>
        <w:t>, la cual despertó un notable interés por parte del sector privado para incursionar en la actividad de acuicultura</w:t>
      </w:r>
      <w:r w:rsidRPr="00883E07">
        <w:rPr>
          <w:rFonts w:asciiTheme="majorHAnsi" w:hAnsiTheme="majorHAnsi" w:cs="Arial"/>
          <w:sz w:val="22"/>
          <w:szCs w:val="22"/>
          <w:lang w:val="es-PE" w:eastAsia="es-PE"/>
        </w:rPr>
        <w:t>.</w:t>
      </w:r>
      <w:bookmarkEnd w:id="5"/>
      <w:bookmarkEnd w:id="6"/>
      <w:r w:rsidR="00823D7D" w:rsidRPr="00883E07">
        <w:rPr>
          <w:rFonts w:asciiTheme="majorHAnsi" w:hAnsiTheme="majorHAnsi" w:cs="Arial"/>
          <w:sz w:val="22"/>
          <w:szCs w:val="22"/>
          <w:lang w:val="es-PE" w:eastAsia="es-PE"/>
        </w:rPr>
        <w:t xml:space="preserve"> Cabe señalar que actualmente, ante la estabilización de la actividad </w:t>
      </w:r>
      <w:r w:rsidR="002E14F9" w:rsidRPr="00883E07">
        <w:rPr>
          <w:rFonts w:asciiTheme="majorHAnsi" w:hAnsiTheme="majorHAnsi" w:cs="Arial"/>
          <w:sz w:val="22"/>
          <w:szCs w:val="22"/>
          <w:lang w:val="es-PE" w:eastAsia="es-PE"/>
        </w:rPr>
        <w:t>extractiva</w:t>
      </w:r>
      <w:r w:rsidR="00823D7D" w:rsidRPr="00883E07">
        <w:rPr>
          <w:rFonts w:asciiTheme="majorHAnsi" w:hAnsiTheme="majorHAnsi" w:cs="Arial"/>
          <w:sz w:val="22"/>
          <w:szCs w:val="22"/>
          <w:lang w:val="es-PE" w:eastAsia="es-PE"/>
        </w:rPr>
        <w:t xml:space="preserve"> y la continuidad de los beneficios tributarios actualmente vigentes</w:t>
      </w:r>
      <w:r w:rsidR="002E14F9" w:rsidRPr="00883E07">
        <w:rPr>
          <w:rFonts w:asciiTheme="majorHAnsi" w:hAnsiTheme="majorHAnsi" w:cs="Arial"/>
          <w:sz w:val="22"/>
          <w:szCs w:val="22"/>
          <w:lang w:val="es-PE" w:eastAsia="es-PE"/>
        </w:rPr>
        <w:t xml:space="preserve">, </w:t>
      </w:r>
      <w:r w:rsidR="00903B08" w:rsidRPr="00883E07">
        <w:rPr>
          <w:rFonts w:asciiTheme="majorHAnsi" w:hAnsiTheme="majorHAnsi" w:cs="Arial"/>
          <w:sz w:val="22"/>
          <w:szCs w:val="22"/>
          <w:lang w:val="es-PE" w:eastAsia="es-PE"/>
        </w:rPr>
        <w:t xml:space="preserve">diversos empresarios pesqueros se encuentran interesados en incursionar en la actividad acuícola, lo cual </w:t>
      </w:r>
      <w:r w:rsidR="002E14F9" w:rsidRPr="00883E07">
        <w:rPr>
          <w:rFonts w:asciiTheme="majorHAnsi" w:hAnsiTheme="majorHAnsi" w:cs="Arial"/>
          <w:sz w:val="22"/>
          <w:szCs w:val="22"/>
          <w:lang w:val="es-PE" w:eastAsia="es-PE"/>
        </w:rPr>
        <w:t>les permitirá diversificar sus inversiones</w:t>
      </w:r>
      <w:r w:rsidR="007B110C" w:rsidRPr="00883E07">
        <w:rPr>
          <w:rFonts w:asciiTheme="majorHAnsi" w:hAnsiTheme="majorHAnsi" w:cs="Arial"/>
          <w:sz w:val="22"/>
          <w:szCs w:val="22"/>
          <w:lang w:val="es-PE" w:eastAsia="es-PE"/>
        </w:rPr>
        <w:t xml:space="preserve">, </w:t>
      </w:r>
      <w:r w:rsidR="00903B08" w:rsidRPr="00883E07">
        <w:rPr>
          <w:rFonts w:asciiTheme="majorHAnsi" w:hAnsiTheme="majorHAnsi" w:cs="Arial"/>
          <w:sz w:val="22"/>
          <w:szCs w:val="22"/>
          <w:lang w:val="es-PE" w:eastAsia="es-PE"/>
        </w:rPr>
        <w:t>teniendo presente</w:t>
      </w:r>
      <w:r w:rsidR="007B110C" w:rsidRPr="00883E07">
        <w:rPr>
          <w:rFonts w:asciiTheme="majorHAnsi" w:hAnsiTheme="majorHAnsi" w:cs="Arial"/>
          <w:sz w:val="22"/>
          <w:szCs w:val="22"/>
          <w:lang w:val="es-PE" w:eastAsia="es-PE"/>
        </w:rPr>
        <w:t xml:space="preserve"> que en el Plan Nacional de Desarrollo Acuícola ya existe el compromiso de elevar la producción a las cifras anteriormente indicadas.</w:t>
      </w:r>
    </w:p>
    <w:p w:rsidR="007C7B74" w:rsidRPr="00883E07" w:rsidRDefault="007C7B74" w:rsidP="008E3689">
      <w:pPr>
        <w:jc w:val="both"/>
        <w:rPr>
          <w:rFonts w:asciiTheme="majorHAnsi" w:hAnsiTheme="majorHAnsi" w:cs="Arial"/>
          <w:b/>
          <w:sz w:val="22"/>
          <w:szCs w:val="22"/>
          <w:lang w:val="es-PE" w:eastAsia="es-PE"/>
        </w:rPr>
      </w:pPr>
    </w:p>
    <w:p w:rsidR="001F54AE" w:rsidRPr="00883E07" w:rsidRDefault="001F54AE" w:rsidP="00496B14">
      <w:pPr>
        <w:jc w:val="both"/>
        <w:rPr>
          <w:rFonts w:asciiTheme="majorHAnsi" w:hAnsiTheme="majorHAnsi" w:cs="Arial"/>
          <w:sz w:val="22"/>
          <w:szCs w:val="22"/>
        </w:rPr>
      </w:pPr>
      <w:r w:rsidRPr="00883E07">
        <w:rPr>
          <w:rFonts w:asciiTheme="majorHAnsi" w:hAnsiTheme="majorHAnsi" w:cs="Arial"/>
          <w:sz w:val="22"/>
          <w:szCs w:val="22"/>
        </w:rPr>
        <w:t>Los productos pesqueros gozan de una demanda creciente en el mundo y ante la imposibilidad de incrementar las capturas, esa demanda solo puede ser cubierta por productos de la acuicultura. En consecuencia, existe un margen amplio para la colocación en el mercado externo de la producción de la acuicultura peruana que no sea absorbida por su mercado interno.</w:t>
      </w:r>
    </w:p>
    <w:p w:rsidR="001F54AE" w:rsidRPr="00883E07" w:rsidRDefault="001F54AE" w:rsidP="00496B14">
      <w:pPr>
        <w:jc w:val="both"/>
        <w:rPr>
          <w:rFonts w:asciiTheme="majorHAnsi" w:hAnsiTheme="majorHAnsi" w:cs="Arial"/>
          <w:sz w:val="22"/>
          <w:szCs w:val="22"/>
        </w:rPr>
      </w:pPr>
    </w:p>
    <w:p w:rsidR="00A55465" w:rsidRPr="00883E07" w:rsidRDefault="009A6587" w:rsidP="00496B14">
      <w:pPr>
        <w:jc w:val="both"/>
        <w:rPr>
          <w:rFonts w:asciiTheme="majorHAnsi" w:hAnsiTheme="majorHAnsi" w:cs="Arial"/>
          <w:sz w:val="22"/>
          <w:szCs w:val="22"/>
        </w:rPr>
      </w:pPr>
      <w:r w:rsidRPr="00883E07">
        <w:rPr>
          <w:rFonts w:asciiTheme="majorHAnsi" w:hAnsiTheme="majorHAnsi" w:cs="Arial"/>
          <w:sz w:val="22"/>
          <w:szCs w:val="22"/>
        </w:rPr>
        <w:t>Es de destacar que el cultivo de algunas especies fue afectado por diversos problemas, como la presencia de enfermedades en el cultivo de langostinos y la disminución de precios en el mercado externo debido a la crisis financiera, lo que ocasionó una reducción de la tasa de crecimiento (langostinos) o un decrecimiento de la producción</w:t>
      </w:r>
      <w:r w:rsidR="0022759A" w:rsidRPr="00883E07">
        <w:rPr>
          <w:rFonts w:asciiTheme="majorHAnsi" w:hAnsiTheme="majorHAnsi" w:cs="Arial"/>
          <w:sz w:val="22"/>
          <w:szCs w:val="22"/>
        </w:rPr>
        <w:t xml:space="preserve"> (concha de abanico).</w:t>
      </w:r>
    </w:p>
    <w:p w:rsidR="0054424B" w:rsidRPr="00883E07" w:rsidRDefault="0022759A" w:rsidP="00496B14">
      <w:pPr>
        <w:jc w:val="both"/>
        <w:rPr>
          <w:rFonts w:asciiTheme="majorHAnsi" w:hAnsiTheme="majorHAnsi" w:cs="Arial"/>
          <w:noProof/>
          <w:sz w:val="22"/>
          <w:szCs w:val="22"/>
          <w:lang w:val="es-PE" w:eastAsia="es-PE"/>
        </w:rPr>
      </w:pPr>
      <w:r w:rsidRPr="00883E07">
        <w:rPr>
          <w:rFonts w:asciiTheme="majorHAnsi" w:hAnsiTheme="majorHAnsi" w:cs="Arial"/>
          <w:noProof/>
          <w:sz w:val="22"/>
          <w:szCs w:val="22"/>
          <w:lang w:val="es-PE" w:eastAsia="es-PE"/>
        </w:rPr>
        <w:t xml:space="preserve"> </w:t>
      </w:r>
    </w:p>
    <w:p w:rsidR="00CC1C6E" w:rsidRPr="00883E07" w:rsidRDefault="0022759A">
      <w:pPr>
        <w:jc w:val="both"/>
        <w:rPr>
          <w:rFonts w:asciiTheme="majorHAnsi" w:hAnsiTheme="majorHAnsi" w:cs="Arial"/>
        </w:rPr>
      </w:pPr>
      <w:r w:rsidRPr="00883E07">
        <w:rPr>
          <w:rFonts w:asciiTheme="majorHAnsi" w:hAnsiTheme="majorHAnsi" w:cs="Arial"/>
          <w:sz w:val="22"/>
          <w:szCs w:val="22"/>
          <w:lang w:val="es-PE"/>
        </w:rPr>
        <w:t xml:space="preserve">En lo que se refiere al sector </w:t>
      </w:r>
      <w:proofErr w:type="spellStart"/>
      <w:r w:rsidRPr="00883E07">
        <w:rPr>
          <w:rFonts w:asciiTheme="majorHAnsi" w:hAnsiTheme="majorHAnsi" w:cs="Arial"/>
          <w:sz w:val="22"/>
          <w:szCs w:val="22"/>
          <w:lang w:val="es-PE"/>
        </w:rPr>
        <w:t>langostinero</w:t>
      </w:r>
      <w:proofErr w:type="spellEnd"/>
      <w:r w:rsidRPr="00883E07">
        <w:rPr>
          <w:rFonts w:asciiTheme="majorHAnsi" w:hAnsiTheme="majorHAnsi" w:cs="Arial"/>
          <w:sz w:val="22"/>
          <w:szCs w:val="22"/>
          <w:lang w:val="es-PE"/>
        </w:rPr>
        <w:t>,</w:t>
      </w:r>
      <w:r w:rsidRPr="00883E07">
        <w:rPr>
          <w:rFonts w:asciiTheme="majorHAnsi" w:hAnsiTheme="majorHAnsi" w:cs="Arial"/>
          <w:sz w:val="22"/>
          <w:szCs w:val="22"/>
        </w:rPr>
        <w:t xml:space="preserve"> gracias a la inversión del sector privado y el trabajo de innovación tecnológica desarrollado en conjunto con diversas instituciones, la producción langostinera se vino recuperando de las enfermedades que afectaron los cultivos y ha crecido sin pausa en los últimos 10 años, lo que ha demandado más inversiones y </w:t>
      </w:r>
      <w:proofErr w:type="spellStart"/>
      <w:r w:rsidRPr="00883E07">
        <w:rPr>
          <w:rFonts w:asciiTheme="majorHAnsi" w:hAnsiTheme="majorHAnsi" w:cs="Arial"/>
          <w:sz w:val="22"/>
          <w:szCs w:val="22"/>
        </w:rPr>
        <w:t>mas</w:t>
      </w:r>
      <w:proofErr w:type="spellEnd"/>
      <w:r w:rsidRPr="00883E07">
        <w:rPr>
          <w:rFonts w:asciiTheme="majorHAnsi" w:hAnsiTheme="majorHAnsi" w:cs="Arial"/>
          <w:sz w:val="22"/>
          <w:szCs w:val="22"/>
        </w:rPr>
        <w:t xml:space="preserve"> investigación y desarrollo, llevada adelante por las propias empresas </w:t>
      </w:r>
      <w:proofErr w:type="spellStart"/>
      <w:r w:rsidRPr="00883E07">
        <w:rPr>
          <w:rFonts w:asciiTheme="majorHAnsi" w:hAnsiTheme="majorHAnsi" w:cs="Arial"/>
          <w:sz w:val="22"/>
          <w:szCs w:val="22"/>
        </w:rPr>
        <w:t>langostineras</w:t>
      </w:r>
      <w:proofErr w:type="spellEnd"/>
      <w:r w:rsidRPr="00883E07">
        <w:rPr>
          <w:rFonts w:asciiTheme="majorHAnsi" w:hAnsiTheme="majorHAnsi" w:cs="Arial"/>
          <w:sz w:val="22"/>
          <w:szCs w:val="22"/>
        </w:rPr>
        <w:t>. Esto no hubiese sido posible si se hubiese tenido que pagar el IR del 30%.</w:t>
      </w:r>
    </w:p>
    <w:p w:rsidR="00CC1C6E" w:rsidRPr="00883E07" w:rsidRDefault="00CC1C6E">
      <w:pPr>
        <w:jc w:val="both"/>
        <w:rPr>
          <w:rFonts w:asciiTheme="majorHAnsi" w:hAnsiTheme="majorHAnsi" w:cs="Arial"/>
        </w:rPr>
      </w:pPr>
    </w:p>
    <w:p w:rsidR="00A55465" w:rsidRPr="00883E07" w:rsidRDefault="0022759A" w:rsidP="00A55465">
      <w:pPr>
        <w:jc w:val="both"/>
        <w:rPr>
          <w:rFonts w:asciiTheme="majorHAnsi" w:hAnsiTheme="majorHAnsi" w:cs="Arial"/>
          <w:sz w:val="22"/>
          <w:szCs w:val="22"/>
        </w:rPr>
      </w:pPr>
      <w:r w:rsidRPr="00883E07">
        <w:rPr>
          <w:rFonts w:asciiTheme="majorHAnsi" w:hAnsiTheme="majorHAnsi" w:cs="Arial"/>
          <w:sz w:val="22"/>
          <w:szCs w:val="22"/>
        </w:rPr>
        <w:t>La crisis financiera hizo que los precios bajen de 2008 a 2009 en los principales productos exportados: langostino 70 centavos de dólar por kg y en conchas de abanico 2.20 US $ por kg.</w:t>
      </w:r>
      <w:r w:rsidR="00635987" w:rsidRPr="00883E07">
        <w:rPr>
          <w:rFonts w:asciiTheme="majorHAnsi" w:hAnsiTheme="majorHAnsi" w:cs="Arial"/>
          <w:sz w:val="22"/>
          <w:szCs w:val="22"/>
        </w:rPr>
        <w:t>,</w:t>
      </w:r>
      <w:r w:rsidR="0051471E" w:rsidRPr="00883E07">
        <w:rPr>
          <w:rFonts w:asciiTheme="majorHAnsi" w:hAnsiTheme="majorHAnsi" w:cs="Arial"/>
          <w:sz w:val="22"/>
          <w:szCs w:val="22"/>
        </w:rPr>
        <w:t xml:space="preserve"> </w:t>
      </w:r>
      <w:r w:rsidR="00A55465" w:rsidRPr="00883E07">
        <w:rPr>
          <w:rFonts w:asciiTheme="majorHAnsi" w:hAnsiTheme="majorHAnsi" w:cs="Arial"/>
          <w:sz w:val="22"/>
          <w:szCs w:val="22"/>
        </w:rPr>
        <w:t xml:space="preserve">sin embargo, la actividad acuícola en su totalidad ha ido en aumento, lo que se demuestra en los volúmenes y niveles de exportación  alcanzados en los últimos años.   </w:t>
      </w:r>
    </w:p>
    <w:p w:rsidR="00A55465" w:rsidRPr="00883E07" w:rsidRDefault="00A55465" w:rsidP="00A55465">
      <w:pPr>
        <w:jc w:val="both"/>
        <w:rPr>
          <w:rFonts w:asciiTheme="majorHAnsi" w:hAnsiTheme="majorHAnsi"/>
          <w:noProof/>
          <w:lang w:eastAsia="es-PE"/>
        </w:rPr>
      </w:pPr>
    </w:p>
    <w:p w:rsidR="006C0601" w:rsidRPr="00883E07" w:rsidRDefault="001F54AE" w:rsidP="006C0601">
      <w:pPr>
        <w:jc w:val="both"/>
        <w:rPr>
          <w:rFonts w:asciiTheme="majorHAnsi" w:hAnsiTheme="majorHAnsi" w:cs="Arial"/>
          <w:sz w:val="22"/>
          <w:szCs w:val="22"/>
        </w:rPr>
      </w:pPr>
      <w:r w:rsidRPr="00883E07">
        <w:rPr>
          <w:rFonts w:asciiTheme="majorHAnsi" w:hAnsiTheme="majorHAnsi" w:cs="Arial"/>
          <w:sz w:val="22"/>
          <w:szCs w:val="22"/>
        </w:rPr>
        <w:t xml:space="preserve">Cabe señalar que </w:t>
      </w:r>
      <w:r w:rsidR="006C0601" w:rsidRPr="00883E07">
        <w:rPr>
          <w:rFonts w:asciiTheme="majorHAnsi" w:hAnsiTheme="majorHAnsi" w:cs="Arial"/>
          <w:sz w:val="22"/>
          <w:szCs w:val="22"/>
        </w:rPr>
        <w:t xml:space="preserve"> la aprobación de</w:t>
      </w:r>
      <w:r w:rsidRPr="00883E07">
        <w:rPr>
          <w:rFonts w:asciiTheme="majorHAnsi" w:hAnsiTheme="majorHAnsi" w:cs="Arial"/>
          <w:sz w:val="22"/>
          <w:szCs w:val="22"/>
        </w:rPr>
        <w:t xml:space="preserve"> </w:t>
      </w:r>
      <w:r w:rsidR="006C0601" w:rsidRPr="00883E07">
        <w:rPr>
          <w:rFonts w:asciiTheme="majorHAnsi" w:hAnsiTheme="majorHAnsi" w:cs="Arial"/>
          <w:sz w:val="22"/>
          <w:szCs w:val="22"/>
        </w:rPr>
        <w:t>l</w:t>
      </w:r>
      <w:r w:rsidRPr="00883E07">
        <w:rPr>
          <w:rFonts w:asciiTheme="majorHAnsi" w:hAnsiTheme="majorHAnsi" w:cs="Arial"/>
          <w:sz w:val="22"/>
          <w:szCs w:val="22"/>
        </w:rPr>
        <w:t>os Tratados de</w:t>
      </w:r>
      <w:r w:rsidR="006C0601" w:rsidRPr="00883E07">
        <w:rPr>
          <w:rFonts w:asciiTheme="majorHAnsi" w:hAnsiTheme="majorHAnsi" w:cs="Arial"/>
          <w:sz w:val="22"/>
          <w:szCs w:val="22"/>
        </w:rPr>
        <w:t xml:space="preserve"> L</w:t>
      </w:r>
      <w:r w:rsidRPr="00883E07">
        <w:rPr>
          <w:rFonts w:asciiTheme="majorHAnsi" w:hAnsiTheme="majorHAnsi" w:cs="Arial"/>
          <w:sz w:val="22"/>
          <w:szCs w:val="22"/>
        </w:rPr>
        <w:t xml:space="preserve">ibre </w:t>
      </w:r>
      <w:r w:rsidR="006C0601" w:rsidRPr="00883E07">
        <w:rPr>
          <w:rFonts w:asciiTheme="majorHAnsi" w:hAnsiTheme="majorHAnsi" w:cs="Arial"/>
          <w:sz w:val="22"/>
          <w:szCs w:val="22"/>
        </w:rPr>
        <w:t>C</w:t>
      </w:r>
      <w:r w:rsidRPr="00883E07">
        <w:rPr>
          <w:rFonts w:asciiTheme="majorHAnsi" w:hAnsiTheme="majorHAnsi" w:cs="Arial"/>
          <w:sz w:val="22"/>
          <w:szCs w:val="22"/>
        </w:rPr>
        <w:t>omercio</w:t>
      </w:r>
      <w:r w:rsidR="006C0601" w:rsidRPr="00883E07">
        <w:rPr>
          <w:rFonts w:asciiTheme="majorHAnsi" w:hAnsiTheme="majorHAnsi" w:cs="Arial"/>
          <w:sz w:val="22"/>
          <w:szCs w:val="22"/>
        </w:rPr>
        <w:t xml:space="preserve"> con Estados Unidos, la Unión Europea y China y próximamente con Corea y Japón, </w:t>
      </w:r>
      <w:r w:rsidR="00C679FE" w:rsidRPr="00883E07">
        <w:rPr>
          <w:rFonts w:asciiTheme="majorHAnsi" w:hAnsiTheme="majorHAnsi" w:cs="Arial"/>
          <w:sz w:val="22"/>
          <w:szCs w:val="22"/>
        </w:rPr>
        <w:t xml:space="preserve">se </w:t>
      </w:r>
      <w:r w:rsidR="006C0601" w:rsidRPr="00883E07">
        <w:rPr>
          <w:rFonts w:asciiTheme="majorHAnsi" w:hAnsiTheme="majorHAnsi" w:cs="Arial"/>
          <w:sz w:val="22"/>
          <w:szCs w:val="22"/>
        </w:rPr>
        <w:t xml:space="preserve">constituye una oportunidad comercial que permitirá  a los productores acuícolas incrementar sus volúmenes de </w:t>
      </w:r>
      <w:r w:rsidRPr="00883E07">
        <w:rPr>
          <w:rFonts w:asciiTheme="majorHAnsi" w:hAnsiTheme="majorHAnsi" w:cs="Arial"/>
          <w:sz w:val="22"/>
          <w:szCs w:val="22"/>
        </w:rPr>
        <w:t>exportación</w:t>
      </w:r>
      <w:r w:rsidR="006C0601" w:rsidRPr="00883E07">
        <w:rPr>
          <w:rFonts w:asciiTheme="majorHAnsi" w:hAnsiTheme="majorHAnsi" w:cs="Arial"/>
          <w:sz w:val="22"/>
          <w:szCs w:val="22"/>
        </w:rPr>
        <w:t xml:space="preserve"> y por ende el desarrollo de la acuicultura. </w:t>
      </w:r>
    </w:p>
    <w:p w:rsidR="007D0EA7" w:rsidRPr="00883E07" w:rsidRDefault="007D0EA7" w:rsidP="006C0601">
      <w:pPr>
        <w:jc w:val="both"/>
        <w:rPr>
          <w:rFonts w:asciiTheme="majorHAnsi" w:hAnsiTheme="majorHAnsi" w:cs="Arial"/>
          <w:sz w:val="22"/>
          <w:szCs w:val="22"/>
        </w:rPr>
      </w:pPr>
    </w:p>
    <w:p w:rsidR="00046477" w:rsidRPr="00883E07" w:rsidRDefault="00635987" w:rsidP="006C0601">
      <w:pPr>
        <w:jc w:val="both"/>
        <w:rPr>
          <w:rFonts w:asciiTheme="majorHAnsi" w:hAnsiTheme="majorHAnsi" w:cs="Arial"/>
          <w:sz w:val="22"/>
          <w:szCs w:val="22"/>
        </w:rPr>
      </w:pPr>
      <w:r w:rsidRPr="00883E07">
        <w:rPr>
          <w:rFonts w:asciiTheme="majorHAnsi" w:hAnsiTheme="majorHAnsi" w:cs="Arial"/>
          <w:sz w:val="22"/>
          <w:szCs w:val="22"/>
        </w:rPr>
        <w:t xml:space="preserve">Es importante señalar que incluir en la nueva Ley una extensión </w:t>
      </w:r>
      <w:r w:rsidR="007D0EA7" w:rsidRPr="00883E07">
        <w:rPr>
          <w:rFonts w:asciiTheme="majorHAnsi" w:hAnsiTheme="majorHAnsi" w:cs="Arial"/>
          <w:sz w:val="22"/>
          <w:szCs w:val="22"/>
        </w:rPr>
        <w:t xml:space="preserve">del beneficio de reducción de la tasa de Impuesto a la Renta, existente desde el año 2001, permitirá consolidar la actividad y </w:t>
      </w:r>
      <w:r w:rsidR="00DF7430" w:rsidRPr="00883E07">
        <w:rPr>
          <w:rFonts w:asciiTheme="majorHAnsi" w:hAnsiTheme="majorHAnsi" w:cs="Arial"/>
          <w:sz w:val="22"/>
          <w:szCs w:val="22"/>
        </w:rPr>
        <w:t xml:space="preserve">promoverá </w:t>
      </w:r>
      <w:r w:rsidR="007D0EA7" w:rsidRPr="00883E07">
        <w:rPr>
          <w:rFonts w:asciiTheme="majorHAnsi" w:hAnsiTheme="majorHAnsi" w:cs="Arial"/>
          <w:sz w:val="22"/>
          <w:szCs w:val="22"/>
        </w:rPr>
        <w:t>el posicionamiento de los productos peruanos en el mercado externo</w:t>
      </w:r>
      <w:r w:rsidR="00DF7430" w:rsidRPr="00883E07">
        <w:rPr>
          <w:rFonts w:asciiTheme="majorHAnsi" w:hAnsiTheme="majorHAnsi" w:cs="Arial"/>
          <w:sz w:val="22"/>
          <w:szCs w:val="22"/>
        </w:rPr>
        <w:t>, tal y como ha venido ocurriendo en la última década</w:t>
      </w:r>
      <w:r w:rsidRPr="00883E07">
        <w:rPr>
          <w:rFonts w:asciiTheme="majorHAnsi" w:hAnsiTheme="majorHAnsi" w:cs="Arial"/>
          <w:sz w:val="22"/>
          <w:szCs w:val="22"/>
        </w:rPr>
        <w:t xml:space="preserve"> y tan igual como sucede con </w:t>
      </w:r>
      <w:proofErr w:type="spellStart"/>
      <w:r w:rsidRPr="00883E07">
        <w:rPr>
          <w:rFonts w:asciiTheme="majorHAnsi" w:hAnsiTheme="majorHAnsi" w:cs="Arial"/>
          <w:sz w:val="22"/>
          <w:szCs w:val="22"/>
        </w:rPr>
        <w:t>al</w:t>
      </w:r>
      <w:proofErr w:type="spellEnd"/>
      <w:r w:rsidRPr="00883E07">
        <w:rPr>
          <w:rFonts w:asciiTheme="majorHAnsi" w:hAnsiTheme="majorHAnsi" w:cs="Arial"/>
          <w:sz w:val="22"/>
          <w:szCs w:val="22"/>
        </w:rPr>
        <w:t xml:space="preserve"> agricultura, por tener los mismos procesos de producción</w:t>
      </w:r>
      <w:r w:rsidR="00046477" w:rsidRPr="00883E07">
        <w:rPr>
          <w:rFonts w:asciiTheme="majorHAnsi" w:hAnsiTheme="majorHAnsi" w:cs="Arial"/>
          <w:sz w:val="22"/>
          <w:szCs w:val="22"/>
        </w:rPr>
        <w:t>.</w:t>
      </w:r>
    </w:p>
    <w:p w:rsidR="00635987" w:rsidRPr="00883E07" w:rsidRDefault="00635987">
      <w:pPr>
        <w:jc w:val="both"/>
        <w:rPr>
          <w:rFonts w:asciiTheme="majorHAnsi" w:hAnsiTheme="majorHAnsi" w:cs="Arial"/>
          <w:sz w:val="22"/>
          <w:szCs w:val="22"/>
        </w:rPr>
      </w:pPr>
    </w:p>
    <w:p w:rsidR="00CC1C6E" w:rsidRPr="00883E07" w:rsidRDefault="0022759A">
      <w:pPr>
        <w:jc w:val="both"/>
        <w:rPr>
          <w:rFonts w:asciiTheme="majorHAnsi" w:hAnsiTheme="majorHAnsi" w:cs="Arial"/>
        </w:rPr>
      </w:pPr>
      <w:r w:rsidRPr="00883E07">
        <w:rPr>
          <w:rFonts w:asciiTheme="majorHAnsi" w:hAnsiTheme="majorHAnsi" w:cs="Arial"/>
          <w:sz w:val="22"/>
          <w:szCs w:val="22"/>
        </w:rPr>
        <w:t xml:space="preserve">Esta medida no afectará los </w:t>
      </w:r>
      <w:r w:rsidR="00D7319B" w:rsidRPr="00883E07">
        <w:rPr>
          <w:rFonts w:asciiTheme="majorHAnsi" w:hAnsiTheme="majorHAnsi" w:cs="Arial"/>
          <w:sz w:val="22"/>
          <w:szCs w:val="22"/>
        </w:rPr>
        <w:t>tratados</w:t>
      </w:r>
      <w:r w:rsidRPr="00883E07">
        <w:rPr>
          <w:rFonts w:asciiTheme="majorHAnsi" w:hAnsiTheme="majorHAnsi" w:cs="Arial"/>
          <w:sz w:val="22"/>
          <w:szCs w:val="22"/>
        </w:rPr>
        <w:t xml:space="preserve"> internacionales, ya que se trata de una política interna del país la forma como se maneja la carga tributaria, no tratándose de una subvención. </w:t>
      </w:r>
      <w:r w:rsidR="00635987" w:rsidRPr="00883E07">
        <w:rPr>
          <w:rFonts w:asciiTheme="majorHAnsi" w:hAnsiTheme="majorHAnsi" w:cs="Arial"/>
          <w:sz w:val="22"/>
          <w:szCs w:val="22"/>
        </w:rPr>
        <w:t>Más</w:t>
      </w:r>
      <w:r w:rsidRPr="00883E07">
        <w:rPr>
          <w:rFonts w:asciiTheme="majorHAnsi" w:hAnsiTheme="majorHAnsi" w:cs="Arial"/>
          <w:sz w:val="22"/>
          <w:szCs w:val="22"/>
        </w:rPr>
        <w:t xml:space="preserve"> aun, algunos cultivos estarán exonerados del IR (Ley </w:t>
      </w:r>
      <w:proofErr w:type="spellStart"/>
      <w:r w:rsidRPr="00883E07">
        <w:rPr>
          <w:rFonts w:asciiTheme="majorHAnsi" w:hAnsiTheme="majorHAnsi" w:cs="Arial"/>
          <w:sz w:val="22"/>
          <w:szCs w:val="22"/>
        </w:rPr>
        <w:t>altoandina</w:t>
      </w:r>
      <w:proofErr w:type="spellEnd"/>
      <w:r w:rsidRPr="00883E07">
        <w:rPr>
          <w:rFonts w:asciiTheme="majorHAnsi" w:hAnsiTheme="majorHAnsi" w:cs="Arial"/>
          <w:sz w:val="22"/>
          <w:szCs w:val="22"/>
        </w:rPr>
        <w:t>). Por otro lado, por la Ley de la Selva, estarán con 10% de IR hasta fin de este año algunos casos de la acuicultura de exportación, sin que esto fuese un problema en los mercados de destino.</w:t>
      </w:r>
    </w:p>
    <w:p w:rsidR="00E77C70" w:rsidRPr="00883E07" w:rsidRDefault="00E77C70" w:rsidP="00E77C70">
      <w:pPr>
        <w:jc w:val="both"/>
        <w:rPr>
          <w:rFonts w:asciiTheme="majorHAnsi" w:hAnsiTheme="majorHAnsi" w:cs="Arial"/>
          <w:sz w:val="22"/>
          <w:szCs w:val="22"/>
        </w:rPr>
      </w:pPr>
    </w:p>
    <w:p w:rsidR="00B918B9" w:rsidRPr="00883E07" w:rsidRDefault="00B918B9" w:rsidP="00B918B9">
      <w:pPr>
        <w:numPr>
          <w:ilvl w:val="0"/>
          <w:numId w:val="3"/>
        </w:numPr>
        <w:jc w:val="both"/>
        <w:rPr>
          <w:rFonts w:asciiTheme="majorHAnsi" w:hAnsiTheme="majorHAnsi" w:cs="Arial"/>
          <w:b/>
          <w:sz w:val="22"/>
          <w:szCs w:val="22"/>
        </w:rPr>
      </w:pPr>
      <w:r w:rsidRPr="00883E07">
        <w:rPr>
          <w:rFonts w:asciiTheme="majorHAnsi" w:hAnsiTheme="majorHAnsi" w:cs="Arial"/>
          <w:b/>
          <w:sz w:val="22"/>
          <w:szCs w:val="22"/>
        </w:rPr>
        <w:t xml:space="preserve"> </w:t>
      </w:r>
      <w:r w:rsidR="00F5078F" w:rsidRPr="00883E07">
        <w:rPr>
          <w:rFonts w:asciiTheme="majorHAnsi" w:hAnsiTheme="majorHAnsi" w:cs="Arial"/>
          <w:b/>
          <w:sz w:val="22"/>
          <w:szCs w:val="22"/>
        </w:rPr>
        <w:t>ANÁLISIS</w:t>
      </w:r>
      <w:r w:rsidRPr="00883E07">
        <w:rPr>
          <w:rFonts w:asciiTheme="majorHAnsi" w:hAnsiTheme="majorHAnsi" w:cs="Arial"/>
          <w:b/>
          <w:sz w:val="22"/>
          <w:szCs w:val="22"/>
        </w:rPr>
        <w:t xml:space="preserve"> DE COSTO/BENEFICIO </w:t>
      </w:r>
    </w:p>
    <w:p w:rsidR="00B918B9" w:rsidRPr="00883E07" w:rsidRDefault="00B918B9" w:rsidP="00B918B9">
      <w:pPr>
        <w:ind w:left="1080"/>
        <w:jc w:val="both"/>
        <w:rPr>
          <w:rFonts w:asciiTheme="majorHAnsi" w:hAnsiTheme="majorHAnsi" w:cs="Arial"/>
          <w:b/>
          <w:sz w:val="22"/>
          <w:szCs w:val="22"/>
        </w:rPr>
      </w:pPr>
    </w:p>
    <w:p w:rsidR="00EF65A5" w:rsidRPr="00883E07" w:rsidRDefault="00EF65A5" w:rsidP="00EF65A5">
      <w:pPr>
        <w:jc w:val="both"/>
        <w:rPr>
          <w:rFonts w:asciiTheme="majorHAnsi" w:hAnsiTheme="majorHAnsi" w:cs="Arial"/>
          <w:sz w:val="22"/>
          <w:szCs w:val="22"/>
        </w:rPr>
      </w:pPr>
      <w:r w:rsidRPr="00883E07">
        <w:rPr>
          <w:rFonts w:asciiTheme="majorHAnsi" w:hAnsiTheme="majorHAnsi" w:cs="Arial"/>
          <w:sz w:val="22"/>
          <w:szCs w:val="22"/>
        </w:rPr>
        <w:t>Los efectos económicos que se derivan de la propuesta de Ley no representan costos que afecten el presupuesto para el país, por el contrario, los beneficios económicos y sociales producto del desarrollo de la acuicultura permitirán incrementar el PBI y PEA del sector pesca y con ello mejorar los niveles de vida de la población del país con inclusión social; además</w:t>
      </w:r>
      <w:r w:rsidR="00EE5348">
        <w:rPr>
          <w:rFonts w:asciiTheme="majorHAnsi" w:hAnsiTheme="majorHAnsi" w:cs="Arial"/>
          <w:sz w:val="22"/>
          <w:szCs w:val="22"/>
        </w:rPr>
        <w:t xml:space="preserve"> se garantizaría la seguridad alimentaria en lo referente a proteína animal </w:t>
      </w:r>
      <w:r w:rsidRPr="00883E07">
        <w:rPr>
          <w:rFonts w:asciiTheme="majorHAnsi" w:hAnsiTheme="majorHAnsi" w:cs="Arial"/>
          <w:sz w:val="22"/>
          <w:szCs w:val="22"/>
        </w:rPr>
        <w:t xml:space="preserve">, no afectará el presupuesto del país debido a que  no hay  ingresos importantes dejados de percibir  puesto que la presente propuesta es una renovación del beneficio tributario ya existente. </w:t>
      </w:r>
    </w:p>
    <w:p w:rsidR="00EF65A5" w:rsidRPr="00883E07" w:rsidRDefault="00EF65A5" w:rsidP="00EF65A5">
      <w:pPr>
        <w:jc w:val="both"/>
        <w:rPr>
          <w:rFonts w:asciiTheme="majorHAnsi" w:hAnsiTheme="majorHAnsi" w:cs="Arial"/>
          <w:sz w:val="22"/>
          <w:szCs w:val="22"/>
        </w:rPr>
      </w:pPr>
      <w:r w:rsidRPr="00883E07">
        <w:rPr>
          <w:rFonts w:asciiTheme="majorHAnsi" w:hAnsiTheme="majorHAnsi" w:cs="Arial"/>
          <w:sz w:val="22"/>
          <w:szCs w:val="22"/>
        </w:rPr>
        <w:t xml:space="preserve"> </w:t>
      </w:r>
    </w:p>
    <w:p w:rsidR="00AF6D17" w:rsidRPr="00883E07" w:rsidRDefault="00AF6D17" w:rsidP="00AF6D17">
      <w:pPr>
        <w:jc w:val="both"/>
        <w:rPr>
          <w:rFonts w:asciiTheme="majorHAnsi" w:hAnsiTheme="majorHAnsi" w:cs="Arial"/>
          <w:sz w:val="22"/>
          <w:szCs w:val="22"/>
        </w:rPr>
      </w:pPr>
      <w:r w:rsidRPr="00883E07">
        <w:rPr>
          <w:rFonts w:asciiTheme="majorHAnsi" w:hAnsiTheme="majorHAnsi" w:cs="Arial"/>
          <w:sz w:val="22"/>
          <w:szCs w:val="22"/>
        </w:rPr>
        <w:t xml:space="preserve">Los beneficios económicos y sociales producto del desarrollo de la actividad acuícola permitirán mejorar los niveles nutricionales de la población, en el marco de la política de seguridad alimentaria e incrementar el PBI y PEA del sector pesca, permitiendo con ello mejorar los niveles de vida de la población del país. </w:t>
      </w:r>
    </w:p>
    <w:p w:rsidR="00AF6D17" w:rsidRPr="00883E07" w:rsidRDefault="00AF6D17" w:rsidP="00AF6D17">
      <w:pPr>
        <w:jc w:val="both"/>
        <w:rPr>
          <w:rFonts w:asciiTheme="majorHAnsi" w:hAnsiTheme="majorHAnsi" w:cs="Arial"/>
          <w:sz w:val="22"/>
          <w:szCs w:val="22"/>
        </w:rPr>
      </w:pPr>
    </w:p>
    <w:p w:rsidR="00AF6D17" w:rsidRPr="00883E07" w:rsidRDefault="00AF6D17" w:rsidP="00AF6D17">
      <w:pPr>
        <w:jc w:val="both"/>
        <w:rPr>
          <w:rFonts w:asciiTheme="majorHAnsi" w:hAnsiTheme="majorHAnsi" w:cs="Arial"/>
          <w:sz w:val="22"/>
          <w:szCs w:val="22"/>
        </w:rPr>
      </w:pPr>
      <w:r w:rsidRPr="00883E07">
        <w:rPr>
          <w:rFonts w:asciiTheme="majorHAnsi" w:hAnsiTheme="majorHAnsi" w:cs="Arial"/>
          <w:sz w:val="22"/>
          <w:szCs w:val="22"/>
        </w:rPr>
        <w:t xml:space="preserve">Del total de empresas dedicadas a la acuicultura se acogieron un total de 102 empresas las cuales desarrollan sus actividades principalmente a nivel de mayor escala, con producciones superiores a las 50 toneladas/año, y  de menor escala con producciones de 2 a 50 toneladas.  </w:t>
      </w:r>
    </w:p>
    <w:p w:rsidR="00AF6D17" w:rsidRPr="00883E07" w:rsidRDefault="00AF6D17" w:rsidP="00EF65A5">
      <w:pPr>
        <w:jc w:val="both"/>
        <w:rPr>
          <w:rFonts w:asciiTheme="majorHAnsi" w:hAnsiTheme="majorHAnsi" w:cs="Arial"/>
          <w:sz w:val="22"/>
          <w:szCs w:val="22"/>
        </w:rPr>
      </w:pPr>
    </w:p>
    <w:p w:rsidR="00EF65A5" w:rsidRPr="00883E07" w:rsidRDefault="00EF65A5" w:rsidP="00EF65A5">
      <w:pPr>
        <w:jc w:val="both"/>
        <w:rPr>
          <w:rFonts w:asciiTheme="majorHAnsi" w:hAnsiTheme="majorHAnsi" w:cs="Arial"/>
          <w:sz w:val="22"/>
          <w:szCs w:val="22"/>
        </w:rPr>
      </w:pPr>
      <w:r w:rsidRPr="00883E07">
        <w:rPr>
          <w:rFonts w:asciiTheme="majorHAnsi" w:hAnsiTheme="majorHAnsi" w:cs="Arial"/>
          <w:sz w:val="22"/>
          <w:szCs w:val="22"/>
        </w:rPr>
        <w:t xml:space="preserve">Al definirse la autonomía administrativa y financiera de los Gobiernos Regionales en el proyecto de Ley, se garantizan el desarrollo de proyectos de manera descentralizada cuyo efecto permitirá la inclusión de poblaciones marginadas hacia actividades productivas de acuicultura, además de la seguridad alimentaria. </w:t>
      </w:r>
    </w:p>
    <w:p w:rsidR="00EF65A5" w:rsidRPr="00883E07" w:rsidRDefault="00EF65A5" w:rsidP="00EF65A5">
      <w:pPr>
        <w:jc w:val="both"/>
        <w:rPr>
          <w:rFonts w:asciiTheme="majorHAnsi" w:hAnsiTheme="majorHAnsi" w:cs="Arial"/>
          <w:sz w:val="22"/>
          <w:szCs w:val="22"/>
        </w:rPr>
      </w:pPr>
    </w:p>
    <w:p w:rsidR="00EF65A5" w:rsidRPr="00883E07" w:rsidRDefault="00EF65A5" w:rsidP="00EF65A5">
      <w:pPr>
        <w:jc w:val="both"/>
        <w:rPr>
          <w:rFonts w:asciiTheme="majorHAnsi" w:hAnsiTheme="majorHAnsi" w:cs="Arial"/>
          <w:sz w:val="22"/>
          <w:szCs w:val="22"/>
        </w:rPr>
      </w:pPr>
      <w:r w:rsidRPr="00883E07">
        <w:rPr>
          <w:rFonts w:asciiTheme="majorHAnsi" w:hAnsiTheme="majorHAnsi" w:cs="Arial"/>
          <w:sz w:val="22"/>
          <w:szCs w:val="22"/>
        </w:rPr>
        <w:t xml:space="preserve">Asimismo, frente a los retos de apertura de mercados por la aplicación del Tratados de Libre Comercio con Estados Unidos, Unión Europea, China, Corea, Japón y otros, amerita definir el marco legal de la actividad de acuicultura en el país, con reglas claras, a fin de asegurar la participación de inversionistas nacionales y extranjeros que permitan dinamizar esta actividad </w:t>
      </w:r>
      <w:proofErr w:type="spellStart"/>
      <w:r w:rsidRPr="00883E07">
        <w:rPr>
          <w:rFonts w:asciiTheme="majorHAnsi" w:hAnsiTheme="majorHAnsi" w:cs="Arial"/>
          <w:sz w:val="22"/>
          <w:szCs w:val="22"/>
        </w:rPr>
        <w:t>aun</w:t>
      </w:r>
      <w:proofErr w:type="spellEnd"/>
      <w:r w:rsidRPr="00883E07">
        <w:rPr>
          <w:rFonts w:asciiTheme="majorHAnsi" w:hAnsiTheme="majorHAnsi" w:cs="Arial"/>
          <w:sz w:val="22"/>
          <w:szCs w:val="22"/>
        </w:rPr>
        <w:t xml:space="preserve"> incipiente y con un potencial promisorio por desarrollar.</w:t>
      </w:r>
    </w:p>
    <w:p w:rsidR="00EF65A5" w:rsidRPr="00883E07" w:rsidRDefault="00EF65A5" w:rsidP="00B918B9">
      <w:pPr>
        <w:jc w:val="both"/>
        <w:rPr>
          <w:rFonts w:asciiTheme="majorHAnsi" w:hAnsiTheme="majorHAnsi" w:cs="Arial"/>
          <w:sz w:val="22"/>
          <w:szCs w:val="22"/>
        </w:rPr>
      </w:pPr>
    </w:p>
    <w:p w:rsidR="00B918B9" w:rsidRPr="00883E07" w:rsidRDefault="00B918B9" w:rsidP="00B918B9">
      <w:pPr>
        <w:jc w:val="both"/>
        <w:rPr>
          <w:rFonts w:asciiTheme="majorHAnsi" w:hAnsiTheme="majorHAnsi" w:cs="Arial"/>
          <w:sz w:val="22"/>
          <w:szCs w:val="22"/>
        </w:rPr>
      </w:pPr>
      <w:r w:rsidRPr="00883E07">
        <w:rPr>
          <w:rFonts w:asciiTheme="majorHAnsi" w:hAnsiTheme="majorHAnsi" w:cs="Arial"/>
          <w:sz w:val="22"/>
          <w:szCs w:val="22"/>
        </w:rPr>
        <w:t xml:space="preserve"> </w:t>
      </w:r>
    </w:p>
    <w:p w:rsidR="00B918B9" w:rsidRPr="00883E07" w:rsidRDefault="00B918B9" w:rsidP="00B918B9">
      <w:pPr>
        <w:numPr>
          <w:ilvl w:val="0"/>
          <w:numId w:val="3"/>
        </w:numPr>
        <w:jc w:val="both"/>
        <w:rPr>
          <w:rFonts w:asciiTheme="majorHAnsi" w:hAnsiTheme="majorHAnsi" w:cs="Arial"/>
          <w:b/>
          <w:sz w:val="22"/>
          <w:szCs w:val="22"/>
        </w:rPr>
      </w:pPr>
      <w:r w:rsidRPr="00883E07">
        <w:rPr>
          <w:rFonts w:asciiTheme="majorHAnsi" w:hAnsiTheme="majorHAnsi" w:cs="Arial"/>
          <w:b/>
          <w:sz w:val="22"/>
          <w:szCs w:val="22"/>
        </w:rPr>
        <w:t xml:space="preserve"> IMPACTOS SOBRE </w:t>
      </w:r>
      <w:smartTag w:uri="urn:schemas-microsoft-com:office:smarttags" w:element="PersonName">
        <w:smartTagPr>
          <w:attr w:name="ProductID" w:val="LA LEGISLACIÓN VIGENTE"/>
        </w:smartTagPr>
        <w:r w:rsidRPr="00883E07">
          <w:rPr>
            <w:rFonts w:asciiTheme="majorHAnsi" w:hAnsiTheme="majorHAnsi" w:cs="Arial"/>
            <w:b/>
            <w:sz w:val="22"/>
            <w:szCs w:val="22"/>
          </w:rPr>
          <w:t>LA LEGISLACIÓN VIGENTE</w:t>
        </w:r>
      </w:smartTag>
      <w:r w:rsidRPr="00883E07">
        <w:rPr>
          <w:rFonts w:asciiTheme="majorHAnsi" w:hAnsiTheme="majorHAnsi" w:cs="Arial"/>
          <w:b/>
          <w:sz w:val="22"/>
          <w:szCs w:val="22"/>
        </w:rPr>
        <w:t xml:space="preserve"> </w:t>
      </w:r>
    </w:p>
    <w:p w:rsidR="00B918B9" w:rsidRPr="00883E07" w:rsidRDefault="00B918B9" w:rsidP="00B918B9">
      <w:pPr>
        <w:ind w:left="1080"/>
        <w:jc w:val="both"/>
        <w:rPr>
          <w:rFonts w:asciiTheme="majorHAnsi" w:hAnsiTheme="majorHAnsi" w:cs="Arial"/>
          <w:b/>
          <w:sz w:val="22"/>
          <w:szCs w:val="22"/>
        </w:rPr>
      </w:pPr>
      <w:r w:rsidRPr="00883E07">
        <w:rPr>
          <w:rFonts w:asciiTheme="majorHAnsi" w:hAnsiTheme="majorHAnsi" w:cs="Arial"/>
          <w:b/>
          <w:sz w:val="22"/>
          <w:szCs w:val="22"/>
        </w:rPr>
        <w:t xml:space="preserve"> </w:t>
      </w:r>
    </w:p>
    <w:p w:rsidR="00AF6D17" w:rsidRPr="00883E07" w:rsidRDefault="00AF6D17" w:rsidP="00AF6D17">
      <w:pPr>
        <w:jc w:val="both"/>
        <w:rPr>
          <w:rFonts w:asciiTheme="majorHAnsi" w:hAnsiTheme="majorHAnsi"/>
          <w:sz w:val="22"/>
          <w:szCs w:val="22"/>
        </w:rPr>
      </w:pPr>
      <w:r w:rsidRPr="00883E07">
        <w:rPr>
          <w:rFonts w:asciiTheme="majorHAnsi" w:hAnsiTheme="majorHAnsi"/>
          <w:sz w:val="22"/>
          <w:szCs w:val="22"/>
        </w:rPr>
        <w:lastRenderedPageBreak/>
        <w:t xml:space="preserve">El Proyecto de Ley </w:t>
      </w:r>
      <w:r w:rsidR="00FB5276" w:rsidRPr="00883E07">
        <w:rPr>
          <w:rFonts w:asciiTheme="majorHAnsi" w:hAnsiTheme="majorHAnsi"/>
          <w:sz w:val="22"/>
          <w:szCs w:val="22"/>
        </w:rPr>
        <w:t>tendr</w:t>
      </w:r>
      <w:r w:rsidR="00FB5276">
        <w:rPr>
          <w:rFonts w:asciiTheme="majorHAnsi" w:hAnsiTheme="majorHAnsi"/>
          <w:sz w:val="22"/>
          <w:szCs w:val="22"/>
        </w:rPr>
        <w:t>á</w:t>
      </w:r>
      <w:r w:rsidRPr="00883E07">
        <w:rPr>
          <w:rFonts w:asciiTheme="majorHAnsi" w:hAnsiTheme="majorHAnsi"/>
          <w:sz w:val="22"/>
          <w:szCs w:val="22"/>
        </w:rPr>
        <w:t xml:space="preserve"> repercusiones de carácter constitucional y permitirá reclasificar la acuicultura contribuyendo con su ordenamiento y desarrollo, impulsar la Ciencia y Tecnología e incorporar temas referidos a beneficios tributarios, régimen laboral y de seguridad social, establecidos en la ley que aprueba las normas de promoción del Sector Agrario - Ley N° 27360, la Ley Nº 28810, el </w:t>
      </w:r>
      <w:r w:rsidRPr="00883E07">
        <w:rPr>
          <w:rFonts w:asciiTheme="majorHAnsi" w:hAnsiTheme="majorHAnsi" w:cs="Arial"/>
          <w:sz w:val="22"/>
          <w:szCs w:val="22"/>
        </w:rPr>
        <w:t xml:space="preserve">Decreto Legislativo N° 973 </w:t>
      </w:r>
      <w:r w:rsidRPr="00883E07">
        <w:rPr>
          <w:rFonts w:asciiTheme="majorHAnsi" w:hAnsiTheme="majorHAnsi"/>
          <w:sz w:val="22"/>
          <w:szCs w:val="22"/>
        </w:rPr>
        <w:t>y las normas de descentralización, relacionadas a las competencias exclusivas del Ministerio</w:t>
      </w:r>
      <w:r w:rsidR="00293295">
        <w:rPr>
          <w:rFonts w:asciiTheme="majorHAnsi" w:hAnsiTheme="majorHAnsi"/>
          <w:sz w:val="22"/>
          <w:szCs w:val="22"/>
        </w:rPr>
        <w:t xml:space="preserve"> de Pesca y de Acuicultura</w:t>
      </w:r>
      <w:r w:rsidRPr="00883E07">
        <w:rPr>
          <w:rFonts w:asciiTheme="majorHAnsi" w:hAnsiTheme="majorHAnsi"/>
          <w:sz w:val="22"/>
          <w:szCs w:val="22"/>
        </w:rPr>
        <w:t xml:space="preserve"> y compartidas con los Gobiernos Regionales y Locales, en la gestión administrativa de la actividad de acuicultura. </w:t>
      </w:r>
    </w:p>
    <w:p w:rsidR="00AF6D17" w:rsidRDefault="00AF6D17" w:rsidP="00C34AF8">
      <w:pPr>
        <w:jc w:val="both"/>
        <w:rPr>
          <w:rFonts w:asciiTheme="majorHAnsi" w:hAnsiTheme="majorHAnsi"/>
          <w:sz w:val="22"/>
          <w:szCs w:val="22"/>
        </w:rPr>
      </w:pPr>
    </w:p>
    <w:p w:rsidR="00293295" w:rsidRDefault="001E008F" w:rsidP="00C34AF8">
      <w:pPr>
        <w:jc w:val="both"/>
        <w:rPr>
          <w:rFonts w:asciiTheme="majorHAnsi" w:hAnsiTheme="majorHAnsi"/>
          <w:sz w:val="22"/>
          <w:szCs w:val="22"/>
        </w:rPr>
      </w:pPr>
      <w:r w:rsidRPr="00293295">
        <w:rPr>
          <w:rFonts w:asciiTheme="majorHAnsi" w:hAnsiTheme="majorHAnsi"/>
          <w:sz w:val="22"/>
          <w:szCs w:val="22"/>
        </w:rPr>
        <w:t>Es el momento de darle la importancia y valor a la actividad del presente y futuro, por lo tanto requiere ser un Viceministerio(Viceministerio de Acuicultura), para no quedar rezagados de los demás países que han entendido que la acuicultura bien llevada, es inagotable y garantiza la seguridad alimentaria para sus pueblos</w:t>
      </w:r>
      <w:r w:rsidR="00EE5348">
        <w:rPr>
          <w:rFonts w:asciiTheme="majorHAnsi" w:hAnsiTheme="majorHAnsi"/>
          <w:sz w:val="22"/>
          <w:szCs w:val="22"/>
        </w:rPr>
        <w:t xml:space="preserve"> y generadora de riqueza</w:t>
      </w:r>
      <w:r w:rsidRPr="00293295">
        <w:rPr>
          <w:rFonts w:asciiTheme="majorHAnsi" w:hAnsiTheme="majorHAnsi"/>
          <w:sz w:val="22"/>
          <w:szCs w:val="22"/>
        </w:rPr>
        <w:t>.</w:t>
      </w:r>
    </w:p>
    <w:p w:rsidR="00293295" w:rsidRDefault="00293295" w:rsidP="00C34AF8">
      <w:pPr>
        <w:jc w:val="both"/>
        <w:rPr>
          <w:rFonts w:asciiTheme="majorHAnsi" w:hAnsiTheme="majorHAnsi"/>
          <w:sz w:val="22"/>
          <w:szCs w:val="22"/>
        </w:rPr>
      </w:pPr>
    </w:p>
    <w:p w:rsidR="00293295" w:rsidRDefault="00293295" w:rsidP="00C34AF8">
      <w:pPr>
        <w:jc w:val="both"/>
        <w:rPr>
          <w:rFonts w:asciiTheme="majorHAnsi" w:hAnsiTheme="majorHAnsi"/>
          <w:sz w:val="22"/>
          <w:szCs w:val="22"/>
        </w:rPr>
      </w:pPr>
    </w:p>
    <w:p w:rsidR="00742802" w:rsidRDefault="00293295" w:rsidP="00C34AF8">
      <w:pPr>
        <w:jc w:val="both"/>
        <w:rPr>
          <w:rFonts w:asciiTheme="majorHAnsi" w:hAnsiTheme="majorHAnsi"/>
          <w:sz w:val="22"/>
          <w:szCs w:val="22"/>
        </w:rPr>
      </w:pPr>
      <w:r>
        <w:rPr>
          <w:rFonts w:asciiTheme="majorHAnsi" w:hAnsiTheme="majorHAnsi"/>
          <w:sz w:val="22"/>
          <w:szCs w:val="22"/>
        </w:rPr>
        <w:t xml:space="preserve">Por lo expuesto el pedido que refeccionen sobre la importancia de los dos Sectores </w:t>
      </w:r>
      <w:r w:rsidR="001E008F" w:rsidRPr="00293295">
        <w:rPr>
          <w:rFonts w:asciiTheme="majorHAnsi" w:hAnsiTheme="majorHAnsi"/>
          <w:sz w:val="22"/>
          <w:szCs w:val="22"/>
        </w:rPr>
        <w:t xml:space="preserve"> </w:t>
      </w:r>
      <w:r>
        <w:rPr>
          <w:rFonts w:asciiTheme="majorHAnsi" w:hAnsiTheme="majorHAnsi"/>
          <w:sz w:val="22"/>
          <w:szCs w:val="22"/>
        </w:rPr>
        <w:t>que requieren de una dedicación exclusiva</w:t>
      </w:r>
      <w:r w:rsidR="00742802">
        <w:rPr>
          <w:rFonts w:asciiTheme="majorHAnsi" w:hAnsiTheme="majorHAnsi"/>
          <w:sz w:val="22"/>
          <w:szCs w:val="22"/>
        </w:rPr>
        <w:t xml:space="preserve"> y especializada  para el crecimiento de la economía </w:t>
      </w:r>
      <w:r w:rsidR="00EE5348">
        <w:rPr>
          <w:rFonts w:asciiTheme="majorHAnsi" w:hAnsiTheme="majorHAnsi"/>
          <w:sz w:val="22"/>
          <w:szCs w:val="22"/>
        </w:rPr>
        <w:t>del país</w:t>
      </w:r>
      <w:r w:rsidR="00742802">
        <w:rPr>
          <w:rFonts w:asciiTheme="majorHAnsi" w:hAnsiTheme="majorHAnsi"/>
          <w:sz w:val="22"/>
          <w:szCs w:val="22"/>
        </w:rPr>
        <w:t>.</w:t>
      </w:r>
    </w:p>
    <w:p w:rsidR="00742802" w:rsidRDefault="00742802" w:rsidP="00C34AF8">
      <w:pPr>
        <w:jc w:val="both"/>
        <w:rPr>
          <w:rFonts w:asciiTheme="majorHAnsi" w:hAnsiTheme="majorHAnsi"/>
          <w:sz w:val="22"/>
          <w:szCs w:val="22"/>
        </w:rPr>
      </w:pPr>
    </w:p>
    <w:p w:rsidR="00F32DD7" w:rsidRDefault="00EE5348" w:rsidP="00C34AF8">
      <w:pPr>
        <w:jc w:val="both"/>
        <w:rPr>
          <w:rFonts w:asciiTheme="majorHAnsi" w:hAnsiTheme="majorHAnsi"/>
          <w:sz w:val="22"/>
          <w:szCs w:val="22"/>
        </w:rPr>
      </w:pPr>
      <w:r>
        <w:rPr>
          <w:rFonts w:asciiTheme="majorHAnsi" w:hAnsiTheme="majorHAnsi"/>
          <w:sz w:val="22"/>
          <w:szCs w:val="22"/>
        </w:rPr>
        <w:t>Demos el gran cambio en la economía peruana y fortalecemos</w:t>
      </w:r>
      <w:r w:rsidRPr="00EE5348">
        <w:rPr>
          <w:rFonts w:asciiTheme="majorHAnsi" w:hAnsiTheme="majorHAnsi"/>
          <w:sz w:val="22"/>
          <w:szCs w:val="22"/>
        </w:rPr>
        <w:t xml:space="preserve"> </w:t>
      </w:r>
      <w:r>
        <w:rPr>
          <w:rFonts w:asciiTheme="majorHAnsi" w:hAnsiTheme="majorHAnsi"/>
          <w:sz w:val="22"/>
          <w:szCs w:val="22"/>
        </w:rPr>
        <w:t>el crecimiento de la economía del país</w:t>
      </w:r>
      <w:r w:rsidR="002D23FA">
        <w:rPr>
          <w:rFonts w:asciiTheme="majorHAnsi" w:hAnsiTheme="majorHAnsi"/>
          <w:sz w:val="22"/>
          <w:szCs w:val="22"/>
        </w:rPr>
        <w:t xml:space="preserve">, con la </w:t>
      </w:r>
      <w:r w:rsidR="002D23FA" w:rsidRPr="00763EE0">
        <w:rPr>
          <w:rFonts w:asciiTheme="majorHAnsi" w:hAnsiTheme="majorHAnsi"/>
          <w:sz w:val="22"/>
          <w:szCs w:val="22"/>
        </w:rPr>
        <w:t xml:space="preserve">creación del </w:t>
      </w:r>
      <w:r w:rsidR="002D23FA" w:rsidRPr="00763EE0">
        <w:rPr>
          <w:rFonts w:asciiTheme="majorHAnsi" w:hAnsiTheme="majorHAnsi"/>
          <w:i/>
          <w:sz w:val="22"/>
          <w:szCs w:val="22"/>
          <w:u w:val="single"/>
        </w:rPr>
        <w:t>M</w:t>
      </w:r>
      <w:r w:rsidR="00742802" w:rsidRPr="00763EE0">
        <w:rPr>
          <w:rFonts w:asciiTheme="majorHAnsi" w:hAnsiTheme="majorHAnsi"/>
          <w:i/>
          <w:sz w:val="22"/>
          <w:szCs w:val="22"/>
          <w:u w:val="single"/>
        </w:rPr>
        <w:t xml:space="preserve">inisterio de Industria y de </w:t>
      </w:r>
      <w:proofErr w:type="spellStart"/>
      <w:r w:rsidR="00742802" w:rsidRPr="00763EE0">
        <w:rPr>
          <w:rFonts w:asciiTheme="majorHAnsi" w:hAnsiTheme="majorHAnsi"/>
          <w:i/>
          <w:sz w:val="22"/>
          <w:szCs w:val="22"/>
          <w:u w:val="single"/>
        </w:rPr>
        <w:t>Mypes</w:t>
      </w:r>
      <w:proofErr w:type="spellEnd"/>
      <w:r w:rsidR="00742802" w:rsidRPr="00763EE0">
        <w:rPr>
          <w:rFonts w:asciiTheme="majorHAnsi" w:hAnsiTheme="majorHAnsi"/>
          <w:i/>
          <w:sz w:val="22"/>
          <w:szCs w:val="22"/>
          <w:u w:val="single"/>
        </w:rPr>
        <w:t xml:space="preserve"> e implementación de transferencia tecnológica</w:t>
      </w:r>
      <w:r w:rsidR="002D23FA" w:rsidRPr="00763EE0">
        <w:rPr>
          <w:rFonts w:asciiTheme="majorHAnsi" w:hAnsiTheme="majorHAnsi"/>
          <w:sz w:val="22"/>
          <w:szCs w:val="22"/>
        </w:rPr>
        <w:t xml:space="preserve">, así como el </w:t>
      </w:r>
      <w:r w:rsidR="00742802" w:rsidRPr="00763EE0">
        <w:rPr>
          <w:rFonts w:asciiTheme="majorHAnsi" w:hAnsiTheme="majorHAnsi"/>
          <w:i/>
          <w:sz w:val="22"/>
          <w:szCs w:val="22"/>
          <w:u w:val="single"/>
        </w:rPr>
        <w:t>Ministerio de Pesca y de Acuicultura</w:t>
      </w:r>
      <w:r w:rsidR="00742802" w:rsidRPr="00763EE0">
        <w:rPr>
          <w:rFonts w:asciiTheme="majorHAnsi" w:hAnsiTheme="majorHAnsi"/>
          <w:sz w:val="22"/>
          <w:szCs w:val="22"/>
        </w:rPr>
        <w:t xml:space="preserve">. </w:t>
      </w:r>
    </w:p>
    <w:p w:rsidR="00F32DD7" w:rsidRDefault="00F32DD7" w:rsidP="00C34AF8">
      <w:pPr>
        <w:jc w:val="both"/>
        <w:rPr>
          <w:rFonts w:asciiTheme="majorHAnsi" w:hAnsiTheme="majorHAnsi"/>
          <w:sz w:val="22"/>
          <w:szCs w:val="22"/>
        </w:rPr>
      </w:pPr>
    </w:p>
    <w:p w:rsidR="001E008F" w:rsidRPr="002D23FA" w:rsidRDefault="00F32DD7" w:rsidP="005A4A93">
      <w:pPr>
        <w:rPr>
          <w:rFonts w:asciiTheme="majorHAnsi" w:hAnsiTheme="majorHAnsi"/>
          <w:color w:val="FF0000"/>
          <w:sz w:val="22"/>
          <w:szCs w:val="22"/>
        </w:rPr>
      </w:pPr>
      <w:r>
        <w:rPr>
          <w:rFonts w:asciiTheme="majorHAnsi" w:hAnsiTheme="majorHAnsi"/>
          <w:sz w:val="22"/>
          <w:szCs w:val="22"/>
        </w:rPr>
        <w:t xml:space="preserve">Se propone como estructura del </w:t>
      </w:r>
      <w:r w:rsidR="005A4A93">
        <w:rPr>
          <w:rFonts w:asciiTheme="majorHAnsi" w:hAnsiTheme="majorHAnsi"/>
          <w:sz w:val="22"/>
          <w:szCs w:val="22"/>
        </w:rPr>
        <w:t>viceministerio</w:t>
      </w:r>
      <w:r>
        <w:rPr>
          <w:rFonts w:asciiTheme="majorHAnsi" w:hAnsiTheme="majorHAnsi"/>
          <w:sz w:val="22"/>
          <w:szCs w:val="22"/>
        </w:rPr>
        <w:t xml:space="preserve"> de la Acuicultura el actual </w:t>
      </w:r>
      <w:r w:rsidR="005A4A93">
        <w:rPr>
          <w:rFonts w:asciiTheme="majorHAnsi" w:hAnsiTheme="majorHAnsi"/>
          <w:sz w:val="22"/>
          <w:szCs w:val="22"/>
        </w:rPr>
        <w:t>esquema</w:t>
      </w:r>
      <w:r>
        <w:rPr>
          <w:rFonts w:asciiTheme="majorHAnsi" w:hAnsiTheme="majorHAnsi"/>
          <w:sz w:val="22"/>
          <w:szCs w:val="22"/>
        </w:rPr>
        <w:t xml:space="preserve"> para que </w:t>
      </w:r>
      <w:r w:rsidR="005A4A93">
        <w:rPr>
          <w:rFonts w:asciiTheme="majorHAnsi" w:hAnsiTheme="majorHAnsi"/>
          <w:sz w:val="22"/>
          <w:szCs w:val="22"/>
        </w:rPr>
        <w:t xml:space="preserve">ustedes los </w:t>
      </w:r>
      <w:r>
        <w:rPr>
          <w:rFonts w:asciiTheme="majorHAnsi" w:hAnsiTheme="majorHAnsi"/>
          <w:sz w:val="22"/>
          <w:szCs w:val="22"/>
        </w:rPr>
        <w:t xml:space="preserve"> </w:t>
      </w:r>
      <w:r w:rsidR="005A4A93">
        <w:rPr>
          <w:rFonts w:asciiTheme="majorHAnsi" w:hAnsiTheme="majorHAnsi"/>
          <w:sz w:val="22"/>
          <w:szCs w:val="22"/>
        </w:rPr>
        <w:t>usuarios</w:t>
      </w:r>
      <w:r>
        <w:rPr>
          <w:rFonts w:asciiTheme="majorHAnsi" w:hAnsiTheme="majorHAnsi"/>
          <w:sz w:val="22"/>
          <w:szCs w:val="22"/>
        </w:rPr>
        <w:t>,</w:t>
      </w:r>
      <w:r w:rsidR="005A4A93">
        <w:rPr>
          <w:rFonts w:asciiTheme="majorHAnsi" w:hAnsiTheme="majorHAnsi"/>
          <w:sz w:val="22"/>
          <w:szCs w:val="22"/>
        </w:rPr>
        <w:t xml:space="preserve"> Colegios</w:t>
      </w:r>
      <w:r>
        <w:rPr>
          <w:rFonts w:asciiTheme="majorHAnsi" w:hAnsiTheme="majorHAnsi"/>
          <w:sz w:val="22"/>
          <w:szCs w:val="22"/>
        </w:rPr>
        <w:t xml:space="preserve"> </w:t>
      </w:r>
      <w:r w:rsidR="005A4A93">
        <w:rPr>
          <w:rFonts w:asciiTheme="majorHAnsi" w:hAnsiTheme="majorHAnsi"/>
          <w:sz w:val="22"/>
          <w:szCs w:val="22"/>
        </w:rPr>
        <w:t>Profesionales</w:t>
      </w:r>
      <w:r>
        <w:rPr>
          <w:rFonts w:asciiTheme="majorHAnsi" w:hAnsiTheme="majorHAnsi"/>
          <w:sz w:val="22"/>
          <w:szCs w:val="22"/>
        </w:rPr>
        <w:t xml:space="preserve"> y </w:t>
      </w:r>
      <w:r w:rsidR="005A4A93">
        <w:rPr>
          <w:rFonts w:asciiTheme="majorHAnsi" w:hAnsiTheme="majorHAnsi"/>
          <w:sz w:val="22"/>
          <w:szCs w:val="22"/>
        </w:rPr>
        <w:t xml:space="preserve">Universidades y demás entes del que hacer acuícola den su opinión, y aportes al respecto: </w:t>
      </w:r>
      <w:r>
        <w:rPr>
          <w:rFonts w:asciiTheme="majorHAnsi" w:hAnsiTheme="majorHAnsi"/>
          <w:sz w:val="22"/>
          <w:szCs w:val="22"/>
        </w:rPr>
        <w:t xml:space="preserve"> </w:t>
      </w:r>
      <w:r w:rsidR="00742802" w:rsidRPr="00763EE0">
        <w:rPr>
          <w:rFonts w:asciiTheme="majorHAnsi" w:hAnsiTheme="majorHAnsi"/>
          <w:sz w:val="22"/>
          <w:szCs w:val="22"/>
        </w:rPr>
        <w:t xml:space="preserve"> </w:t>
      </w:r>
      <w:r w:rsidR="00293295" w:rsidRPr="00763EE0">
        <w:rPr>
          <w:rFonts w:asciiTheme="majorHAnsi" w:hAnsiTheme="majorHAnsi"/>
          <w:sz w:val="22"/>
          <w:szCs w:val="22"/>
        </w:rPr>
        <w:t xml:space="preserve"> </w:t>
      </w:r>
      <w:r w:rsidR="001E008F" w:rsidRPr="00763EE0">
        <w:rPr>
          <w:rFonts w:asciiTheme="majorHAnsi" w:hAnsiTheme="majorHAnsi"/>
          <w:sz w:val="22"/>
          <w:szCs w:val="22"/>
        </w:rPr>
        <w:t xml:space="preserve"> </w:t>
      </w:r>
      <w:r w:rsidR="00763EE0">
        <w:rPr>
          <w:noProof/>
          <w:sz w:val="20"/>
          <w:lang w:val="es-PE" w:eastAsia="es-PE"/>
        </w:rPr>
        <w:drawing>
          <wp:inline distT="0" distB="0" distL="0" distR="0">
            <wp:extent cx="5400040" cy="2610644"/>
            <wp:effectExtent l="38100" t="0" r="4826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sectPr w:rsidR="001E008F" w:rsidRPr="002D23FA" w:rsidSect="00F55465">
      <w:headerReference w:type="default" r:id="rId26"/>
      <w:footerReference w:type="default" r:id="rId27"/>
      <w:pgSz w:w="11906" w:h="16838"/>
      <w:pgMar w:top="1417" w:right="1701" w:bottom="1417" w:left="1701" w:header="720" w:footer="9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BA" w:rsidRDefault="000964BA" w:rsidP="0059753C">
      <w:r>
        <w:separator/>
      </w:r>
    </w:p>
  </w:endnote>
  <w:endnote w:type="continuationSeparator" w:id="0">
    <w:p w:rsidR="000964BA" w:rsidRDefault="000964BA" w:rsidP="0059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C3" w:rsidRPr="00883E07" w:rsidRDefault="007E41C3">
    <w:pPr>
      <w:pStyle w:val="Piedepgina"/>
      <w:jc w:val="right"/>
      <w:rPr>
        <w:rFonts w:asciiTheme="majorHAnsi" w:hAnsiTheme="majorHAnsi"/>
        <w:sz w:val="18"/>
      </w:rPr>
    </w:pPr>
    <w:r w:rsidRPr="00883E07">
      <w:rPr>
        <w:rFonts w:asciiTheme="majorHAnsi" w:hAnsiTheme="majorHAnsi"/>
        <w:sz w:val="18"/>
      </w:rPr>
      <w:fldChar w:fldCharType="begin"/>
    </w:r>
    <w:r w:rsidRPr="00883E07">
      <w:rPr>
        <w:rFonts w:asciiTheme="majorHAnsi" w:hAnsiTheme="majorHAnsi"/>
        <w:sz w:val="18"/>
      </w:rPr>
      <w:instrText xml:space="preserve"> PAGE   \* MERGEFORMAT </w:instrText>
    </w:r>
    <w:r w:rsidRPr="00883E07">
      <w:rPr>
        <w:rFonts w:asciiTheme="majorHAnsi" w:hAnsiTheme="majorHAnsi"/>
        <w:sz w:val="18"/>
      </w:rPr>
      <w:fldChar w:fldCharType="separate"/>
    </w:r>
    <w:r w:rsidR="007509C2">
      <w:rPr>
        <w:rFonts w:asciiTheme="majorHAnsi" w:hAnsiTheme="majorHAnsi"/>
        <w:noProof/>
        <w:sz w:val="18"/>
      </w:rPr>
      <w:t>4</w:t>
    </w:r>
    <w:r w:rsidRPr="00883E07">
      <w:rPr>
        <w:rFonts w:asciiTheme="majorHAnsi" w:hAnsiTheme="majorHAnsi"/>
        <w:sz w:val="18"/>
      </w:rPr>
      <w:fldChar w:fldCharType="end"/>
    </w:r>
  </w:p>
  <w:p w:rsidR="007E41C3" w:rsidRDefault="007E41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BA" w:rsidRDefault="000964BA" w:rsidP="0059753C">
      <w:r>
        <w:separator/>
      </w:r>
    </w:p>
  </w:footnote>
  <w:footnote w:type="continuationSeparator" w:id="0">
    <w:p w:rsidR="000964BA" w:rsidRDefault="000964BA" w:rsidP="0059753C">
      <w:r>
        <w:continuationSeparator/>
      </w:r>
    </w:p>
  </w:footnote>
  <w:footnote w:id="1">
    <w:p w:rsidR="007E41C3" w:rsidRPr="00DB43D6" w:rsidRDefault="007E41C3" w:rsidP="0088422F">
      <w:pPr>
        <w:autoSpaceDE w:val="0"/>
        <w:autoSpaceDN w:val="0"/>
        <w:adjustRightInd w:val="0"/>
        <w:rPr>
          <w:rFonts w:asciiTheme="majorHAnsi" w:eastAsia="Times-Roman" w:hAnsiTheme="majorHAnsi" w:cs="Arial"/>
          <w:sz w:val="16"/>
        </w:rPr>
      </w:pPr>
      <w:r w:rsidRPr="00DB43D6">
        <w:rPr>
          <w:rStyle w:val="Refdenotaalpie"/>
          <w:rFonts w:asciiTheme="majorHAnsi" w:hAnsiTheme="majorHAnsi"/>
        </w:rPr>
        <w:footnoteRef/>
      </w:r>
      <w:r w:rsidRPr="00DB43D6">
        <w:rPr>
          <w:rFonts w:asciiTheme="majorHAnsi" w:hAnsiTheme="majorHAnsi"/>
        </w:rPr>
        <w:t xml:space="preserve"> </w:t>
      </w:r>
      <w:r w:rsidRPr="00DB43D6">
        <w:rPr>
          <w:rFonts w:asciiTheme="majorHAnsi" w:eastAsia="Times-Roman" w:hAnsiTheme="majorHAnsi" w:cs="Arial"/>
          <w:sz w:val="16"/>
        </w:rPr>
        <w:t xml:space="preserve">Conjunto de controles específicos que se aplican en una pesquería o actividad acuícola para lograr sus objetivos    </w:t>
      </w:r>
    </w:p>
    <w:p w:rsidR="007E41C3" w:rsidRPr="00DB43D6" w:rsidRDefault="007E41C3" w:rsidP="0088422F">
      <w:pPr>
        <w:autoSpaceDE w:val="0"/>
        <w:autoSpaceDN w:val="0"/>
        <w:adjustRightInd w:val="0"/>
        <w:rPr>
          <w:rFonts w:asciiTheme="majorHAnsi" w:hAnsiTheme="majorHAnsi" w:cs="Arial"/>
          <w:sz w:val="16"/>
        </w:rPr>
      </w:pPr>
      <w:r w:rsidRPr="00DB43D6">
        <w:rPr>
          <w:rFonts w:asciiTheme="majorHAnsi" w:eastAsia="Times-Roman" w:hAnsiTheme="majorHAnsi" w:cs="Arial"/>
          <w:sz w:val="16"/>
        </w:rPr>
        <w:t xml:space="preserve">   </w:t>
      </w:r>
      <w:r w:rsidRPr="00DB43D6">
        <w:rPr>
          <w:rFonts w:asciiTheme="majorHAnsi" w:eastAsia="Times-Roman" w:hAnsiTheme="majorHAnsi" w:cs="Arial"/>
          <w:i/>
          <w:iCs/>
          <w:sz w:val="16"/>
        </w:rPr>
        <w:t xml:space="preserve">Fuente: </w:t>
      </w:r>
      <w:r w:rsidRPr="00DB43D6">
        <w:rPr>
          <w:rFonts w:asciiTheme="majorHAnsi" w:eastAsia="Times-Roman" w:hAnsiTheme="majorHAnsi" w:cs="Arial"/>
          <w:sz w:val="16"/>
        </w:rPr>
        <w:t>Cochrane, 2002.</w:t>
      </w:r>
    </w:p>
  </w:footnote>
  <w:footnote w:id="2">
    <w:p w:rsidR="007E41C3" w:rsidRPr="00FD775E" w:rsidRDefault="007E41C3" w:rsidP="00642250">
      <w:pPr>
        <w:pStyle w:val="Textonotapie"/>
        <w:rPr>
          <w:sz w:val="18"/>
        </w:rPr>
      </w:pPr>
      <w:r w:rsidRPr="00FD775E">
        <w:rPr>
          <w:rStyle w:val="Refdenotaalpie"/>
          <w:sz w:val="18"/>
        </w:rPr>
        <w:footnoteRef/>
      </w:r>
      <w:r w:rsidRPr="00FD775E">
        <w:rPr>
          <w:sz w:val="18"/>
        </w:rPr>
        <w:t xml:space="preserve"> Producción de </w:t>
      </w:r>
      <w:proofErr w:type="spellStart"/>
      <w:r w:rsidRPr="00FD775E">
        <w:rPr>
          <w:sz w:val="18"/>
        </w:rPr>
        <w:t>paiche</w:t>
      </w:r>
      <w:proofErr w:type="spellEnd"/>
      <w:r w:rsidRPr="00FD775E">
        <w:rPr>
          <w:sz w:val="18"/>
        </w:rPr>
        <w:t xml:space="preserve"> reportada en el año 2011, para los años 2003 al 2009 no se tiene cifras oficiales </w:t>
      </w:r>
    </w:p>
  </w:footnote>
  <w:footnote w:id="3">
    <w:p w:rsidR="007E41C3" w:rsidRPr="00883E07" w:rsidRDefault="007E41C3" w:rsidP="000E719D">
      <w:pPr>
        <w:pStyle w:val="Textonotapie"/>
        <w:rPr>
          <w:rFonts w:asciiTheme="majorHAnsi" w:hAnsiTheme="majorHAnsi"/>
        </w:rPr>
      </w:pPr>
      <w:r w:rsidRPr="00883E07">
        <w:rPr>
          <w:rStyle w:val="Refdenotaalpie"/>
          <w:rFonts w:asciiTheme="majorHAnsi" w:hAnsiTheme="majorHAnsi"/>
          <w:sz w:val="18"/>
        </w:rPr>
        <w:footnoteRef/>
      </w:r>
      <w:r w:rsidRPr="00883E07">
        <w:rPr>
          <w:rFonts w:asciiTheme="majorHAnsi" w:hAnsiTheme="majorHAnsi"/>
          <w:sz w:val="18"/>
        </w:rPr>
        <w:t xml:space="preserve"> Información al 31 de Julio del 2011</w:t>
      </w:r>
    </w:p>
  </w:footnote>
  <w:footnote w:id="4">
    <w:p w:rsidR="007E41C3" w:rsidRPr="00883E07" w:rsidRDefault="007E41C3" w:rsidP="000E719D">
      <w:pPr>
        <w:pStyle w:val="Textonotapie"/>
        <w:rPr>
          <w:rFonts w:asciiTheme="majorHAnsi" w:hAnsiTheme="majorHAnsi"/>
        </w:rPr>
      </w:pPr>
      <w:r w:rsidRPr="00883E07">
        <w:rPr>
          <w:rStyle w:val="Refdenotaalpie"/>
          <w:rFonts w:asciiTheme="majorHAnsi" w:hAnsiTheme="majorHAnsi"/>
          <w:sz w:val="18"/>
        </w:rPr>
        <w:footnoteRef/>
      </w:r>
      <w:r w:rsidRPr="00883E07">
        <w:rPr>
          <w:rFonts w:asciiTheme="majorHAnsi" w:hAnsiTheme="majorHAnsi"/>
          <w:sz w:val="18"/>
        </w:rPr>
        <w:t xml:space="preserve"> Incluye los derechos otorgados a menor escala, menor escala/producción de semilla y producción de semilla</w:t>
      </w:r>
    </w:p>
  </w:footnote>
  <w:footnote w:id="5">
    <w:p w:rsidR="007E41C3" w:rsidRPr="00C02567" w:rsidRDefault="007E41C3" w:rsidP="000E719D">
      <w:pPr>
        <w:pStyle w:val="Textonotapie"/>
        <w:rPr>
          <w:rFonts w:asciiTheme="minorHAnsi" w:hAnsiTheme="minorHAnsi"/>
          <w:lang w:val="es-PE"/>
        </w:rPr>
      </w:pPr>
      <w:r w:rsidRPr="000F31C7">
        <w:rPr>
          <w:rStyle w:val="Refdenotaalpie"/>
          <w:rFonts w:asciiTheme="minorHAnsi" w:hAnsiTheme="minorHAnsi"/>
          <w:sz w:val="18"/>
        </w:rPr>
        <w:footnoteRef/>
      </w:r>
      <w:r w:rsidRPr="000F31C7">
        <w:rPr>
          <w:rFonts w:asciiTheme="minorHAnsi" w:hAnsiTheme="minorHAnsi"/>
          <w:sz w:val="18"/>
        </w:rPr>
        <w:t xml:space="preserve"> </w:t>
      </w:r>
      <w:r w:rsidRPr="000F31C7">
        <w:rPr>
          <w:rFonts w:asciiTheme="minorHAnsi" w:hAnsiTheme="minorHAnsi"/>
          <w:sz w:val="18"/>
          <w:lang w:val="es-PE"/>
        </w:rPr>
        <w:t>De acuerdo al INE la Población Peruana a Julio del 2011 fue de 29,797,6</w:t>
      </w:r>
      <w:r>
        <w:rPr>
          <w:rFonts w:asciiTheme="minorHAnsi" w:hAnsiTheme="minorHAnsi"/>
          <w:sz w:val="18"/>
          <w:lang w:val="es-PE"/>
        </w:rPr>
        <w:t>9</w:t>
      </w:r>
      <w:r w:rsidRPr="000F31C7">
        <w:rPr>
          <w:rFonts w:asciiTheme="minorHAnsi" w:hAnsiTheme="minorHAnsi"/>
          <w:sz w:val="18"/>
          <w:lang w:val="es-PE"/>
        </w:rPr>
        <w:t>4</w:t>
      </w:r>
    </w:p>
  </w:footnote>
  <w:footnote w:id="6">
    <w:p w:rsidR="007E41C3" w:rsidRPr="00772D4F" w:rsidRDefault="007E41C3" w:rsidP="005A2313">
      <w:pPr>
        <w:pStyle w:val="Default"/>
        <w:ind w:left="142" w:hanging="142"/>
        <w:jc w:val="both"/>
        <w:rPr>
          <w:rFonts w:asciiTheme="majorHAnsi" w:hAnsiTheme="majorHAnsi"/>
          <w:sz w:val="16"/>
          <w:szCs w:val="16"/>
          <w:lang w:val="es-MX"/>
        </w:rPr>
      </w:pPr>
      <w:r w:rsidRPr="00772D4F">
        <w:rPr>
          <w:rStyle w:val="Refdenotaalpie"/>
          <w:rFonts w:asciiTheme="majorHAnsi" w:hAnsiTheme="majorHAnsi"/>
          <w:sz w:val="16"/>
          <w:szCs w:val="16"/>
        </w:rPr>
        <w:footnoteRef/>
      </w:r>
      <w:r w:rsidRPr="00772D4F">
        <w:rPr>
          <w:rFonts w:asciiTheme="majorHAnsi" w:hAnsiTheme="majorHAnsi"/>
          <w:sz w:val="16"/>
          <w:szCs w:val="16"/>
        </w:rPr>
        <w:t xml:space="preserve"> </w:t>
      </w:r>
      <w:r w:rsidRPr="00772D4F">
        <w:rPr>
          <w:rFonts w:asciiTheme="majorHAnsi" w:hAnsiTheme="majorHAnsi" w:cs="Arial"/>
          <w:bCs/>
          <w:sz w:val="16"/>
          <w:szCs w:val="16"/>
        </w:rPr>
        <w:t>Siembra o resiembra de especies hidrobiológicas en ambientes marinos o continentales, con o sin acondicionamiento del medio, con semilla del medio natural o procedente de centros de producción de semilla</w:t>
      </w:r>
    </w:p>
  </w:footnote>
  <w:footnote w:id="7">
    <w:p w:rsidR="007E41C3" w:rsidRPr="00772D4F" w:rsidRDefault="007E41C3" w:rsidP="00045098">
      <w:pPr>
        <w:pStyle w:val="Textonotapie"/>
        <w:ind w:left="142" w:hanging="142"/>
        <w:rPr>
          <w:rFonts w:asciiTheme="majorHAnsi" w:hAnsiTheme="majorHAnsi"/>
          <w:i/>
          <w:sz w:val="16"/>
          <w:szCs w:val="16"/>
          <w:lang w:val="es-PE"/>
        </w:rPr>
      </w:pPr>
      <w:r w:rsidRPr="00772D4F">
        <w:rPr>
          <w:rStyle w:val="Refdenotaalpie"/>
          <w:rFonts w:asciiTheme="majorHAnsi" w:hAnsiTheme="majorHAnsi"/>
          <w:sz w:val="16"/>
          <w:szCs w:val="16"/>
        </w:rPr>
        <w:footnoteRef/>
      </w:r>
      <w:r w:rsidRPr="00772D4F">
        <w:rPr>
          <w:rFonts w:asciiTheme="majorHAnsi" w:hAnsiTheme="majorHAnsi"/>
          <w:sz w:val="16"/>
          <w:szCs w:val="16"/>
          <w:lang w:val="es-PE"/>
        </w:rPr>
        <w:t xml:space="preserve"> Diagnóstico de la Acuicultura de Recursos Limitados (AREL) y de la Acuicultura de la Micro y Pequeña Empresa (AMYPE) en América Latina</w:t>
      </w:r>
      <w:r w:rsidRPr="00772D4F">
        <w:rPr>
          <w:rFonts w:asciiTheme="majorHAnsi" w:hAnsiTheme="majorHAnsi"/>
          <w:i/>
          <w:sz w:val="16"/>
          <w:szCs w:val="16"/>
          <w:lang w:val="es-PE"/>
        </w:rPr>
        <w:t xml:space="preserve"> (</w:t>
      </w:r>
      <w:hyperlink r:id="rId1" w:history="1">
        <w:r w:rsidRPr="00772D4F">
          <w:rPr>
            <w:rStyle w:val="Hipervnculo"/>
            <w:rFonts w:asciiTheme="majorHAnsi" w:eastAsia="Calibri" w:hAnsiTheme="majorHAnsi"/>
            <w:i/>
            <w:sz w:val="16"/>
            <w:szCs w:val="16"/>
            <w:lang w:val="es-PE"/>
          </w:rPr>
          <w:t>http://rnia.produce.gob.pe/images/stories/archivos/pdf/publicaciones/diagnostico_arel_amype_america_latina.pdf</w:t>
        </w:r>
      </w:hyperlink>
      <w:r w:rsidRPr="00772D4F">
        <w:rPr>
          <w:rFonts w:asciiTheme="majorHAnsi" w:hAnsiTheme="majorHAnsi"/>
          <w:i/>
          <w:sz w:val="16"/>
          <w:szCs w:val="16"/>
          <w:lang w:val="es-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C3" w:rsidRPr="003B0DEE" w:rsidRDefault="007E41C3" w:rsidP="009015F8">
    <w:pPr>
      <w:jc w:val="center"/>
      <w:rPr>
        <w:sz w:val="10"/>
        <w:lang w:val="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05B6"/>
    <w:multiLevelType w:val="hybridMultilevel"/>
    <w:tmpl w:val="A0DEFF1A"/>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594C83"/>
    <w:multiLevelType w:val="hybridMultilevel"/>
    <w:tmpl w:val="EB3865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755050"/>
    <w:multiLevelType w:val="hybridMultilevel"/>
    <w:tmpl w:val="8020E0BE"/>
    <w:lvl w:ilvl="0" w:tplc="4D16DAEE">
      <w:start w:val="1"/>
      <w:numFmt w:val="lowerRoman"/>
      <w:lvlText w:val="%1)"/>
      <w:lvlJc w:val="left"/>
      <w:pPr>
        <w:ind w:left="1080" w:hanging="72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F40400"/>
    <w:multiLevelType w:val="hybridMultilevel"/>
    <w:tmpl w:val="3E385F04"/>
    <w:lvl w:ilvl="0" w:tplc="A9E427DE">
      <w:start w:val="1"/>
      <w:numFmt w:val="bullet"/>
      <w:lvlText w:val=""/>
      <w:lvlJc w:val="left"/>
      <w:pPr>
        <w:tabs>
          <w:tab w:val="num" w:pos="720"/>
        </w:tabs>
        <w:ind w:left="720" w:hanging="360"/>
      </w:pPr>
      <w:rPr>
        <w:rFonts w:ascii="Wingdings" w:hAnsi="Wingdings" w:hint="default"/>
      </w:rPr>
    </w:lvl>
    <w:lvl w:ilvl="1" w:tplc="DFE6053C" w:tentative="1">
      <w:start w:val="1"/>
      <w:numFmt w:val="bullet"/>
      <w:lvlText w:val=""/>
      <w:lvlJc w:val="left"/>
      <w:pPr>
        <w:tabs>
          <w:tab w:val="num" w:pos="1440"/>
        </w:tabs>
        <w:ind w:left="1440" w:hanging="360"/>
      </w:pPr>
      <w:rPr>
        <w:rFonts w:ascii="Wingdings" w:hAnsi="Wingdings" w:hint="default"/>
      </w:rPr>
    </w:lvl>
    <w:lvl w:ilvl="2" w:tplc="0EA64A9E" w:tentative="1">
      <w:start w:val="1"/>
      <w:numFmt w:val="bullet"/>
      <w:lvlText w:val=""/>
      <w:lvlJc w:val="left"/>
      <w:pPr>
        <w:tabs>
          <w:tab w:val="num" w:pos="2160"/>
        </w:tabs>
        <w:ind w:left="2160" w:hanging="360"/>
      </w:pPr>
      <w:rPr>
        <w:rFonts w:ascii="Wingdings" w:hAnsi="Wingdings" w:hint="default"/>
      </w:rPr>
    </w:lvl>
    <w:lvl w:ilvl="3" w:tplc="E37E1384" w:tentative="1">
      <w:start w:val="1"/>
      <w:numFmt w:val="bullet"/>
      <w:lvlText w:val=""/>
      <w:lvlJc w:val="left"/>
      <w:pPr>
        <w:tabs>
          <w:tab w:val="num" w:pos="2880"/>
        </w:tabs>
        <w:ind w:left="2880" w:hanging="360"/>
      </w:pPr>
      <w:rPr>
        <w:rFonts w:ascii="Wingdings" w:hAnsi="Wingdings" w:hint="default"/>
      </w:rPr>
    </w:lvl>
    <w:lvl w:ilvl="4" w:tplc="3580E262" w:tentative="1">
      <w:start w:val="1"/>
      <w:numFmt w:val="bullet"/>
      <w:lvlText w:val=""/>
      <w:lvlJc w:val="left"/>
      <w:pPr>
        <w:tabs>
          <w:tab w:val="num" w:pos="3600"/>
        </w:tabs>
        <w:ind w:left="3600" w:hanging="360"/>
      </w:pPr>
      <w:rPr>
        <w:rFonts w:ascii="Wingdings" w:hAnsi="Wingdings" w:hint="default"/>
      </w:rPr>
    </w:lvl>
    <w:lvl w:ilvl="5" w:tplc="466AB8BE" w:tentative="1">
      <w:start w:val="1"/>
      <w:numFmt w:val="bullet"/>
      <w:lvlText w:val=""/>
      <w:lvlJc w:val="left"/>
      <w:pPr>
        <w:tabs>
          <w:tab w:val="num" w:pos="4320"/>
        </w:tabs>
        <w:ind w:left="4320" w:hanging="360"/>
      </w:pPr>
      <w:rPr>
        <w:rFonts w:ascii="Wingdings" w:hAnsi="Wingdings" w:hint="default"/>
      </w:rPr>
    </w:lvl>
    <w:lvl w:ilvl="6" w:tplc="FA52DCB2" w:tentative="1">
      <w:start w:val="1"/>
      <w:numFmt w:val="bullet"/>
      <w:lvlText w:val=""/>
      <w:lvlJc w:val="left"/>
      <w:pPr>
        <w:tabs>
          <w:tab w:val="num" w:pos="5040"/>
        </w:tabs>
        <w:ind w:left="5040" w:hanging="360"/>
      </w:pPr>
      <w:rPr>
        <w:rFonts w:ascii="Wingdings" w:hAnsi="Wingdings" w:hint="default"/>
      </w:rPr>
    </w:lvl>
    <w:lvl w:ilvl="7" w:tplc="59F46666" w:tentative="1">
      <w:start w:val="1"/>
      <w:numFmt w:val="bullet"/>
      <w:lvlText w:val=""/>
      <w:lvlJc w:val="left"/>
      <w:pPr>
        <w:tabs>
          <w:tab w:val="num" w:pos="5760"/>
        </w:tabs>
        <w:ind w:left="5760" w:hanging="360"/>
      </w:pPr>
      <w:rPr>
        <w:rFonts w:ascii="Wingdings" w:hAnsi="Wingdings" w:hint="default"/>
      </w:rPr>
    </w:lvl>
    <w:lvl w:ilvl="8" w:tplc="F4CCFF82" w:tentative="1">
      <w:start w:val="1"/>
      <w:numFmt w:val="bullet"/>
      <w:lvlText w:val=""/>
      <w:lvlJc w:val="left"/>
      <w:pPr>
        <w:tabs>
          <w:tab w:val="num" w:pos="6480"/>
        </w:tabs>
        <w:ind w:left="6480" w:hanging="360"/>
      </w:pPr>
      <w:rPr>
        <w:rFonts w:ascii="Wingdings" w:hAnsi="Wingdings" w:hint="default"/>
      </w:rPr>
    </w:lvl>
  </w:abstractNum>
  <w:abstractNum w:abstractNumId="4">
    <w:nsid w:val="218A73CC"/>
    <w:multiLevelType w:val="multilevel"/>
    <w:tmpl w:val="2F20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C77BAD"/>
    <w:multiLevelType w:val="hybridMultilevel"/>
    <w:tmpl w:val="FBA48CCA"/>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C22D91"/>
    <w:multiLevelType w:val="multilevel"/>
    <w:tmpl w:val="187241F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4B6520"/>
    <w:multiLevelType w:val="hybridMultilevel"/>
    <w:tmpl w:val="7140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A4488A"/>
    <w:multiLevelType w:val="multilevel"/>
    <w:tmpl w:val="3A48259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D6947BD"/>
    <w:multiLevelType w:val="multilevel"/>
    <w:tmpl w:val="27961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3A572EF"/>
    <w:multiLevelType w:val="hybridMultilevel"/>
    <w:tmpl w:val="7F847EB0"/>
    <w:lvl w:ilvl="0" w:tplc="9868566C">
      <w:start w:val="1"/>
      <w:numFmt w:val="bullet"/>
      <w:lvlText w:val="-"/>
      <w:lvlJc w:val="left"/>
      <w:pPr>
        <w:tabs>
          <w:tab w:val="num" w:pos="720"/>
        </w:tabs>
        <w:ind w:left="720" w:hanging="360"/>
      </w:pPr>
      <w:rPr>
        <w:rFonts w:ascii="Times New Roman" w:hAnsi="Times New Roman" w:hint="default"/>
        <w:color w:val="auto"/>
      </w:rPr>
    </w:lvl>
    <w:lvl w:ilvl="1" w:tplc="461C112A" w:tentative="1">
      <w:start w:val="1"/>
      <w:numFmt w:val="bullet"/>
      <w:lvlText w:val="-"/>
      <w:lvlJc w:val="left"/>
      <w:pPr>
        <w:tabs>
          <w:tab w:val="num" w:pos="1440"/>
        </w:tabs>
        <w:ind w:left="1440" w:hanging="360"/>
      </w:pPr>
      <w:rPr>
        <w:rFonts w:ascii="Times New Roman" w:hAnsi="Times New Roman" w:hint="default"/>
      </w:rPr>
    </w:lvl>
    <w:lvl w:ilvl="2" w:tplc="C9E4A482" w:tentative="1">
      <w:start w:val="1"/>
      <w:numFmt w:val="bullet"/>
      <w:lvlText w:val="-"/>
      <w:lvlJc w:val="left"/>
      <w:pPr>
        <w:tabs>
          <w:tab w:val="num" w:pos="2160"/>
        </w:tabs>
        <w:ind w:left="2160" w:hanging="360"/>
      </w:pPr>
      <w:rPr>
        <w:rFonts w:ascii="Times New Roman" w:hAnsi="Times New Roman" w:hint="default"/>
      </w:rPr>
    </w:lvl>
    <w:lvl w:ilvl="3" w:tplc="A8DEE4A4" w:tentative="1">
      <w:start w:val="1"/>
      <w:numFmt w:val="bullet"/>
      <w:lvlText w:val="-"/>
      <w:lvlJc w:val="left"/>
      <w:pPr>
        <w:tabs>
          <w:tab w:val="num" w:pos="2880"/>
        </w:tabs>
        <w:ind w:left="2880" w:hanging="360"/>
      </w:pPr>
      <w:rPr>
        <w:rFonts w:ascii="Times New Roman" w:hAnsi="Times New Roman" w:hint="default"/>
      </w:rPr>
    </w:lvl>
    <w:lvl w:ilvl="4" w:tplc="2444B37C" w:tentative="1">
      <w:start w:val="1"/>
      <w:numFmt w:val="bullet"/>
      <w:lvlText w:val="-"/>
      <w:lvlJc w:val="left"/>
      <w:pPr>
        <w:tabs>
          <w:tab w:val="num" w:pos="3600"/>
        </w:tabs>
        <w:ind w:left="3600" w:hanging="360"/>
      </w:pPr>
      <w:rPr>
        <w:rFonts w:ascii="Times New Roman" w:hAnsi="Times New Roman" w:hint="default"/>
      </w:rPr>
    </w:lvl>
    <w:lvl w:ilvl="5" w:tplc="4E2C8232" w:tentative="1">
      <w:start w:val="1"/>
      <w:numFmt w:val="bullet"/>
      <w:lvlText w:val="-"/>
      <w:lvlJc w:val="left"/>
      <w:pPr>
        <w:tabs>
          <w:tab w:val="num" w:pos="4320"/>
        </w:tabs>
        <w:ind w:left="4320" w:hanging="360"/>
      </w:pPr>
      <w:rPr>
        <w:rFonts w:ascii="Times New Roman" w:hAnsi="Times New Roman" w:hint="default"/>
      </w:rPr>
    </w:lvl>
    <w:lvl w:ilvl="6" w:tplc="5D2019B2" w:tentative="1">
      <w:start w:val="1"/>
      <w:numFmt w:val="bullet"/>
      <w:lvlText w:val="-"/>
      <w:lvlJc w:val="left"/>
      <w:pPr>
        <w:tabs>
          <w:tab w:val="num" w:pos="5040"/>
        </w:tabs>
        <w:ind w:left="5040" w:hanging="360"/>
      </w:pPr>
      <w:rPr>
        <w:rFonts w:ascii="Times New Roman" w:hAnsi="Times New Roman" w:hint="default"/>
      </w:rPr>
    </w:lvl>
    <w:lvl w:ilvl="7" w:tplc="380A4B96" w:tentative="1">
      <w:start w:val="1"/>
      <w:numFmt w:val="bullet"/>
      <w:lvlText w:val="-"/>
      <w:lvlJc w:val="left"/>
      <w:pPr>
        <w:tabs>
          <w:tab w:val="num" w:pos="5760"/>
        </w:tabs>
        <w:ind w:left="5760" w:hanging="360"/>
      </w:pPr>
      <w:rPr>
        <w:rFonts w:ascii="Times New Roman" w:hAnsi="Times New Roman" w:hint="default"/>
      </w:rPr>
    </w:lvl>
    <w:lvl w:ilvl="8" w:tplc="42AC331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4A731A2"/>
    <w:multiLevelType w:val="hybridMultilevel"/>
    <w:tmpl w:val="B79C9470"/>
    <w:lvl w:ilvl="0" w:tplc="FAF65E7C">
      <w:start w:val="1"/>
      <w:numFmt w:val="bullet"/>
      <w:lvlText w:val="-"/>
      <w:lvlJc w:val="left"/>
      <w:pPr>
        <w:tabs>
          <w:tab w:val="num" w:pos="720"/>
        </w:tabs>
        <w:ind w:left="720" w:hanging="360"/>
      </w:pPr>
      <w:rPr>
        <w:rFonts w:ascii="Times New Roman" w:hAnsi="Times New Roman" w:hint="default"/>
      </w:rPr>
    </w:lvl>
    <w:lvl w:ilvl="1" w:tplc="463E0438" w:tentative="1">
      <w:start w:val="1"/>
      <w:numFmt w:val="bullet"/>
      <w:lvlText w:val="-"/>
      <w:lvlJc w:val="left"/>
      <w:pPr>
        <w:tabs>
          <w:tab w:val="num" w:pos="1440"/>
        </w:tabs>
        <w:ind w:left="1440" w:hanging="360"/>
      </w:pPr>
      <w:rPr>
        <w:rFonts w:ascii="Times New Roman" w:hAnsi="Times New Roman" w:hint="default"/>
      </w:rPr>
    </w:lvl>
    <w:lvl w:ilvl="2" w:tplc="283AA93A" w:tentative="1">
      <w:start w:val="1"/>
      <w:numFmt w:val="bullet"/>
      <w:lvlText w:val="-"/>
      <w:lvlJc w:val="left"/>
      <w:pPr>
        <w:tabs>
          <w:tab w:val="num" w:pos="2160"/>
        </w:tabs>
        <w:ind w:left="2160" w:hanging="360"/>
      </w:pPr>
      <w:rPr>
        <w:rFonts w:ascii="Times New Roman" w:hAnsi="Times New Roman" w:hint="default"/>
      </w:rPr>
    </w:lvl>
    <w:lvl w:ilvl="3" w:tplc="9A984ACA" w:tentative="1">
      <w:start w:val="1"/>
      <w:numFmt w:val="bullet"/>
      <w:lvlText w:val="-"/>
      <w:lvlJc w:val="left"/>
      <w:pPr>
        <w:tabs>
          <w:tab w:val="num" w:pos="2880"/>
        </w:tabs>
        <w:ind w:left="2880" w:hanging="360"/>
      </w:pPr>
      <w:rPr>
        <w:rFonts w:ascii="Times New Roman" w:hAnsi="Times New Roman" w:hint="default"/>
      </w:rPr>
    </w:lvl>
    <w:lvl w:ilvl="4" w:tplc="A1B2B614" w:tentative="1">
      <w:start w:val="1"/>
      <w:numFmt w:val="bullet"/>
      <w:lvlText w:val="-"/>
      <w:lvlJc w:val="left"/>
      <w:pPr>
        <w:tabs>
          <w:tab w:val="num" w:pos="3600"/>
        </w:tabs>
        <w:ind w:left="3600" w:hanging="360"/>
      </w:pPr>
      <w:rPr>
        <w:rFonts w:ascii="Times New Roman" w:hAnsi="Times New Roman" w:hint="default"/>
      </w:rPr>
    </w:lvl>
    <w:lvl w:ilvl="5" w:tplc="D07CE18C" w:tentative="1">
      <w:start w:val="1"/>
      <w:numFmt w:val="bullet"/>
      <w:lvlText w:val="-"/>
      <w:lvlJc w:val="left"/>
      <w:pPr>
        <w:tabs>
          <w:tab w:val="num" w:pos="4320"/>
        </w:tabs>
        <w:ind w:left="4320" w:hanging="360"/>
      </w:pPr>
      <w:rPr>
        <w:rFonts w:ascii="Times New Roman" w:hAnsi="Times New Roman" w:hint="default"/>
      </w:rPr>
    </w:lvl>
    <w:lvl w:ilvl="6" w:tplc="462448FC" w:tentative="1">
      <w:start w:val="1"/>
      <w:numFmt w:val="bullet"/>
      <w:lvlText w:val="-"/>
      <w:lvlJc w:val="left"/>
      <w:pPr>
        <w:tabs>
          <w:tab w:val="num" w:pos="5040"/>
        </w:tabs>
        <w:ind w:left="5040" w:hanging="360"/>
      </w:pPr>
      <w:rPr>
        <w:rFonts w:ascii="Times New Roman" w:hAnsi="Times New Roman" w:hint="default"/>
      </w:rPr>
    </w:lvl>
    <w:lvl w:ilvl="7" w:tplc="6DE67BE0" w:tentative="1">
      <w:start w:val="1"/>
      <w:numFmt w:val="bullet"/>
      <w:lvlText w:val="-"/>
      <w:lvlJc w:val="left"/>
      <w:pPr>
        <w:tabs>
          <w:tab w:val="num" w:pos="5760"/>
        </w:tabs>
        <w:ind w:left="5760" w:hanging="360"/>
      </w:pPr>
      <w:rPr>
        <w:rFonts w:ascii="Times New Roman" w:hAnsi="Times New Roman" w:hint="default"/>
      </w:rPr>
    </w:lvl>
    <w:lvl w:ilvl="8" w:tplc="DC3800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A1D2AEA"/>
    <w:multiLevelType w:val="hybridMultilevel"/>
    <w:tmpl w:val="2D846D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48330FBA"/>
    <w:multiLevelType w:val="hybridMultilevel"/>
    <w:tmpl w:val="099E7720"/>
    <w:lvl w:ilvl="0" w:tplc="58A6373A">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FD3B66"/>
    <w:multiLevelType w:val="hybridMultilevel"/>
    <w:tmpl w:val="E77E7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D351DAD"/>
    <w:multiLevelType w:val="hybridMultilevel"/>
    <w:tmpl w:val="4404DFC6"/>
    <w:lvl w:ilvl="0" w:tplc="8F6A5C16">
      <w:numFmt w:val="bullet"/>
      <w:lvlText w:val="-"/>
      <w:lvlJc w:val="left"/>
      <w:pPr>
        <w:ind w:left="720" w:hanging="360"/>
      </w:pPr>
      <w:rPr>
        <w:rFonts w:ascii="Cambria" w:eastAsia="MS Mincho"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EE770C"/>
    <w:multiLevelType w:val="hybridMultilevel"/>
    <w:tmpl w:val="C0400A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ABC3570"/>
    <w:multiLevelType w:val="multilevel"/>
    <w:tmpl w:val="78549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8281667"/>
    <w:multiLevelType w:val="hybridMultilevel"/>
    <w:tmpl w:val="4A0E814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E7008BB"/>
    <w:multiLevelType w:val="hybridMultilevel"/>
    <w:tmpl w:val="A65452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F8D354F"/>
    <w:multiLevelType w:val="multilevel"/>
    <w:tmpl w:val="BE8EF44E"/>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1">
    <w:nsid w:val="7088629B"/>
    <w:multiLevelType w:val="hybridMultilevel"/>
    <w:tmpl w:val="3EF49F4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8"/>
  </w:num>
  <w:num w:numId="4">
    <w:abstractNumId w:val="14"/>
  </w:num>
  <w:num w:numId="5">
    <w:abstractNumId w:val="19"/>
  </w:num>
  <w:num w:numId="6">
    <w:abstractNumId w:val="2"/>
  </w:num>
  <w:num w:numId="7">
    <w:abstractNumId w:val="7"/>
  </w:num>
  <w:num w:numId="8">
    <w:abstractNumId w:val="9"/>
  </w:num>
  <w:num w:numId="9">
    <w:abstractNumId w:val="17"/>
  </w:num>
  <w:num w:numId="10">
    <w:abstractNumId w:val="12"/>
  </w:num>
  <w:num w:numId="11">
    <w:abstractNumId w:val="21"/>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4"/>
  </w:num>
  <w:num w:numId="16">
    <w:abstractNumId w:val="6"/>
  </w:num>
  <w:num w:numId="17">
    <w:abstractNumId w:val="13"/>
  </w:num>
  <w:num w:numId="18">
    <w:abstractNumId w:val="3"/>
  </w:num>
  <w:num w:numId="19">
    <w:abstractNumId w:val="5"/>
  </w:num>
  <w:num w:numId="20">
    <w:abstractNumId w:val="1"/>
  </w:num>
  <w:num w:numId="21">
    <w:abstractNumId w:val="15"/>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3A85"/>
    <w:rsid w:val="0000057D"/>
    <w:rsid w:val="00001F91"/>
    <w:rsid w:val="00007119"/>
    <w:rsid w:val="00010419"/>
    <w:rsid w:val="00013E7B"/>
    <w:rsid w:val="000140F1"/>
    <w:rsid w:val="00016411"/>
    <w:rsid w:val="0003283D"/>
    <w:rsid w:val="0004269F"/>
    <w:rsid w:val="00045098"/>
    <w:rsid w:val="00046477"/>
    <w:rsid w:val="0005376A"/>
    <w:rsid w:val="0005414D"/>
    <w:rsid w:val="00073AD6"/>
    <w:rsid w:val="00080117"/>
    <w:rsid w:val="00087C69"/>
    <w:rsid w:val="000964BA"/>
    <w:rsid w:val="000B5FCD"/>
    <w:rsid w:val="000B7F18"/>
    <w:rsid w:val="000D0BD5"/>
    <w:rsid w:val="000D3991"/>
    <w:rsid w:val="000E01FC"/>
    <w:rsid w:val="000E105E"/>
    <w:rsid w:val="000E2FF7"/>
    <w:rsid w:val="000E6B25"/>
    <w:rsid w:val="000E719D"/>
    <w:rsid w:val="000E791E"/>
    <w:rsid w:val="000F021B"/>
    <w:rsid w:val="000F0A15"/>
    <w:rsid w:val="000F17D0"/>
    <w:rsid w:val="000F3D8C"/>
    <w:rsid w:val="00103C13"/>
    <w:rsid w:val="00104E6C"/>
    <w:rsid w:val="001050E4"/>
    <w:rsid w:val="00106D4F"/>
    <w:rsid w:val="00110160"/>
    <w:rsid w:val="001132E6"/>
    <w:rsid w:val="00115A72"/>
    <w:rsid w:val="0011627D"/>
    <w:rsid w:val="00123533"/>
    <w:rsid w:val="001237A1"/>
    <w:rsid w:val="00132C52"/>
    <w:rsid w:val="00163007"/>
    <w:rsid w:val="00163C66"/>
    <w:rsid w:val="00165CE7"/>
    <w:rsid w:val="00166801"/>
    <w:rsid w:val="00167435"/>
    <w:rsid w:val="0017071D"/>
    <w:rsid w:val="0017132B"/>
    <w:rsid w:val="00174D72"/>
    <w:rsid w:val="00177C39"/>
    <w:rsid w:val="0018062A"/>
    <w:rsid w:val="00184441"/>
    <w:rsid w:val="001849EF"/>
    <w:rsid w:val="00190258"/>
    <w:rsid w:val="00195199"/>
    <w:rsid w:val="001A33BC"/>
    <w:rsid w:val="001B1B01"/>
    <w:rsid w:val="001B4EF3"/>
    <w:rsid w:val="001C3BC9"/>
    <w:rsid w:val="001C730C"/>
    <w:rsid w:val="001D744D"/>
    <w:rsid w:val="001E008F"/>
    <w:rsid w:val="001E0108"/>
    <w:rsid w:val="001E2634"/>
    <w:rsid w:val="001E3BBD"/>
    <w:rsid w:val="001E6EB6"/>
    <w:rsid w:val="001E78EE"/>
    <w:rsid w:val="001F1C26"/>
    <w:rsid w:val="001F54AE"/>
    <w:rsid w:val="001F65C1"/>
    <w:rsid w:val="001F7E56"/>
    <w:rsid w:val="00202074"/>
    <w:rsid w:val="002121CE"/>
    <w:rsid w:val="00214EB6"/>
    <w:rsid w:val="0021698B"/>
    <w:rsid w:val="00224077"/>
    <w:rsid w:val="00224D13"/>
    <w:rsid w:val="0022759A"/>
    <w:rsid w:val="00242077"/>
    <w:rsid w:val="00251AB5"/>
    <w:rsid w:val="00255986"/>
    <w:rsid w:val="002637B2"/>
    <w:rsid w:val="00266B0F"/>
    <w:rsid w:val="002679E6"/>
    <w:rsid w:val="00273AE7"/>
    <w:rsid w:val="002761FB"/>
    <w:rsid w:val="00277490"/>
    <w:rsid w:val="002774FF"/>
    <w:rsid w:val="00281DAE"/>
    <w:rsid w:val="00293295"/>
    <w:rsid w:val="002A06A5"/>
    <w:rsid w:val="002A49BF"/>
    <w:rsid w:val="002B1B1D"/>
    <w:rsid w:val="002B6285"/>
    <w:rsid w:val="002D0D73"/>
    <w:rsid w:val="002D23FA"/>
    <w:rsid w:val="002D7FEB"/>
    <w:rsid w:val="002E14F9"/>
    <w:rsid w:val="002E157B"/>
    <w:rsid w:val="002E3EEF"/>
    <w:rsid w:val="002F3CF9"/>
    <w:rsid w:val="002F4D9D"/>
    <w:rsid w:val="002F701D"/>
    <w:rsid w:val="00305B43"/>
    <w:rsid w:val="0030669B"/>
    <w:rsid w:val="0031214E"/>
    <w:rsid w:val="003136E5"/>
    <w:rsid w:val="00316C1B"/>
    <w:rsid w:val="0032051B"/>
    <w:rsid w:val="00320C60"/>
    <w:rsid w:val="0032239E"/>
    <w:rsid w:val="0032435F"/>
    <w:rsid w:val="00324546"/>
    <w:rsid w:val="00325077"/>
    <w:rsid w:val="003271E7"/>
    <w:rsid w:val="00334EB0"/>
    <w:rsid w:val="00342343"/>
    <w:rsid w:val="00343E89"/>
    <w:rsid w:val="0034768A"/>
    <w:rsid w:val="00350C2C"/>
    <w:rsid w:val="00350F4C"/>
    <w:rsid w:val="003543EF"/>
    <w:rsid w:val="0035788F"/>
    <w:rsid w:val="00364D8C"/>
    <w:rsid w:val="00376367"/>
    <w:rsid w:val="003776A6"/>
    <w:rsid w:val="00377E32"/>
    <w:rsid w:val="003820B6"/>
    <w:rsid w:val="00382149"/>
    <w:rsid w:val="003973E1"/>
    <w:rsid w:val="003978E3"/>
    <w:rsid w:val="00397DE0"/>
    <w:rsid w:val="003A7B14"/>
    <w:rsid w:val="003A7D69"/>
    <w:rsid w:val="003B0DEE"/>
    <w:rsid w:val="003C3677"/>
    <w:rsid w:val="003D353B"/>
    <w:rsid w:val="003D64F7"/>
    <w:rsid w:val="003D6541"/>
    <w:rsid w:val="003E2134"/>
    <w:rsid w:val="003E743B"/>
    <w:rsid w:val="003F0209"/>
    <w:rsid w:val="003F3D98"/>
    <w:rsid w:val="00402DDD"/>
    <w:rsid w:val="00405494"/>
    <w:rsid w:val="004057C5"/>
    <w:rsid w:val="00406A57"/>
    <w:rsid w:val="0041797C"/>
    <w:rsid w:val="00420FBB"/>
    <w:rsid w:val="00422F82"/>
    <w:rsid w:val="00422FF9"/>
    <w:rsid w:val="004259CD"/>
    <w:rsid w:val="00436C36"/>
    <w:rsid w:val="004402B9"/>
    <w:rsid w:val="00443628"/>
    <w:rsid w:val="00453F87"/>
    <w:rsid w:val="00456DE2"/>
    <w:rsid w:val="00460323"/>
    <w:rsid w:val="0046282A"/>
    <w:rsid w:val="00463CD4"/>
    <w:rsid w:val="004750FD"/>
    <w:rsid w:val="004920F6"/>
    <w:rsid w:val="00496B14"/>
    <w:rsid w:val="004A1EFD"/>
    <w:rsid w:val="004A5C5D"/>
    <w:rsid w:val="004B33E6"/>
    <w:rsid w:val="004B3B27"/>
    <w:rsid w:val="004B5B29"/>
    <w:rsid w:val="004B6EAF"/>
    <w:rsid w:val="004C0217"/>
    <w:rsid w:val="004C574D"/>
    <w:rsid w:val="004D3A13"/>
    <w:rsid w:val="004E08C9"/>
    <w:rsid w:val="004E39EB"/>
    <w:rsid w:val="004F2B2A"/>
    <w:rsid w:val="004F5D3A"/>
    <w:rsid w:val="004F6FC0"/>
    <w:rsid w:val="0051224F"/>
    <w:rsid w:val="0051471E"/>
    <w:rsid w:val="00516EB2"/>
    <w:rsid w:val="00517578"/>
    <w:rsid w:val="00517ABB"/>
    <w:rsid w:val="005240E0"/>
    <w:rsid w:val="00524F18"/>
    <w:rsid w:val="00526327"/>
    <w:rsid w:val="005322BD"/>
    <w:rsid w:val="005331F4"/>
    <w:rsid w:val="00534B70"/>
    <w:rsid w:val="00534FA3"/>
    <w:rsid w:val="0053526A"/>
    <w:rsid w:val="00542F54"/>
    <w:rsid w:val="0054424B"/>
    <w:rsid w:val="005564E4"/>
    <w:rsid w:val="005608B8"/>
    <w:rsid w:val="00563423"/>
    <w:rsid w:val="0056420B"/>
    <w:rsid w:val="00565109"/>
    <w:rsid w:val="00567B86"/>
    <w:rsid w:val="00567BC1"/>
    <w:rsid w:val="0057268B"/>
    <w:rsid w:val="0057276A"/>
    <w:rsid w:val="00586440"/>
    <w:rsid w:val="005916A8"/>
    <w:rsid w:val="005948CC"/>
    <w:rsid w:val="005966EA"/>
    <w:rsid w:val="0059753C"/>
    <w:rsid w:val="005A2313"/>
    <w:rsid w:val="005A45BA"/>
    <w:rsid w:val="005A4A93"/>
    <w:rsid w:val="005A5968"/>
    <w:rsid w:val="005A697D"/>
    <w:rsid w:val="005B1071"/>
    <w:rsid w:val="005B200F"/>
    <w:rsid w:val="005B3779"/>
    <w:rsid w:val="005B3F7B"/>
    <w:rsid w:val="005B4227"/>
    <w:rsid w:val="005B4804"/>
    <w:rsid w:val="005B7A66"/>
    <w:rsid w:val="005B7C0B"/>
    <w:rsid w:val="005C2717"/>
    <w:rsid w:val="005D18DE"/>
    <w:rsid w:val="005D1D15"/>
    <w:rsid w:val="005D2206"/>
    <w:rsid w:val="005D3554"/>
    <w:rsid w:val="005E2A93"/>
    <w:rsid w:val="005E585A"/>
    <w:rsid w:val="005F1FF3"/>
    <w:rsid w:val="005F7A38"/>
    <w:rsid w:val="005F7BC6"/>
    <w:rsid w:val="00600085"/>
    <w:rsid w:val="00602CDD"/>
    <w:rsid w:val="00605329"/>
    <w:rsid w:val="00610892"/>
    <w:rsid w:val="00613F4C"/>
    <w:rsid w:val="006142F7"/>
    <w:rsid w:val="006259EE"/>
    <w:rsid w:val="006260AF"/>
    <w:rsid w:val="00626EB5"/>
    <w:rsid w:val="00627F3F"/>
    <w:rsid w:val="006321D2"/>
    <w:rsid w:val="00635987"/>
    <w:rsid w:val="006359C2"/>
    <w:rsid w:val="00642250"/>
    <w:rsid w:val="00645C07"/>
    <w:rsid w:val="00654246"/>
    <w:rsid w:val="00655A04"/>
    <w:rsid w:val="00671CAB"/>
    <w:rsid w:val="00674276"/>
    <w:rsid w:val="00674CCE"/>
    <w:rsid w:val="0067613F"/>
    <w:rsid w:val="00677F5F"/>
    <w:rsid w:val="006805D8"/>
    <w:rsid w:val="006857D7"/>
    <w:rsid w:val="00691606"/>
    <w:rsid w:val="006935A9"/>
    <w:rsid w:val="006A1AE0"/>
    <w:rsid w:val="006A52F5"/>
    <w:rsid w:val="006B0710"/>
    <w:rsid w:val="006B480F"/>
    <w:rsid w:val="006C0601"/>
    <w:rsid w:val="006C0AAA"/>
    <w:rsid w:val="006C39ED"/>
    <w:rsid w:val="006C5339"/>
    <w:rsid w:val="006D0439"/>
    <w:rsid w:val="006D2901"/>
    <w:rsid w:val="006D5DD4"/>
    <w:rsid w:val="006E136A"/>
    <w:rsid w:val="006E32E8"/>
    <w:rsid w:val="006F363F"/>
    <w:rsid w:val="00701F91"/>
    <w:rsid w:val="00703C66"/>
    <w:rsid w:val="00711182"/>
    <w:rsid w:val="007120B9"/>
    <w:rsid w:val="007141F2"/>
    <w:rsid w:val="00716001"/>
    <w:rsid w:val="007241A9"/>
    <w:rsid w:val="00725169"/>
    <w:rsid w:val="0072570D"/>
    <w:rsid w:val="00731B58"/>
    <w:rsid w:val="00742802"/>
    <w:rsid w:val="0074356E"/>
    <w:rsid w:val="0074487D"/>
    <w:rsid w:val="007508E2"/>
    <w:rsid w:val="007509C2"/>
    <w:rsid w:val="007576B5"/>
    <w:rsid w:val="00763EE0"/>
    <w:rsid w:val="00766970"/>
    <w:rsid w:val="00770479"/>
    <w:rsid w:val="007713AF"/>
    <w:rsid w:val="00772D4F"/>
    <w:rsid w:val="00783AE2"/>
    <w:rsid w:val="007871DE"/>
    <w:rsid w:val="00793A02"/>
    <w:rsid w:val="007A07E6"/>
    <w:rsid w:val="007A1690"/>
    <w:rsid w:val="007A7708"/>
    <w:rsid w:val="007B110C"/>
    <w:rsid w:val="007B11D9"/>
    <w:rsid w:val="007B36E5"/>
    <w:rsid w:val="007B75A8"/>
    <w:rsid w:val="007C533C"/>
    <w:rsid w:val="007C7B74"/>
    <w:rsid w:val="007D0107"/>
    <w:rsid w:val="007D0EA7"/>
    <w:rsid w:val="007D104E"/>
    <w:rsid w:val="007D7612"/>
    <w:rsid w:val="007E21C1"/>
    <w:rsid w:val="007E29E2"/>
    <w:rsid w:val="007E41C3"/>
    <w:rsid w:val="00811093"/>
    <w:rsid w:val="00811F56"/>
    <w:rsid w:val="00823D7D"/>
    <w:rsid w:val="008279C2"/>
    <w:rsid w:val="00833A8C"/>
    <w:rsid w:val="00835348"/>
    <w:rsid w:val="00853479"/>
    <w:rsid w:val="0085392E"/>
    <w:rsid w:val="0086045C"/>
    <w:rsid w:val="00861D57"/>
    <w:rsid w:val="00862B54"/>
    <w:rsid w:val="008630CC"/>
    <w:rsid w:val="008658B3"/>
    <w:rsid w:val="00865D6C"/>
    <w:rsid w:val="00866050"/>
    <w:rsid w:val="00874059"/>
    <w:rsid w:val="008811E0"/>
    <w:rsid w:val="00882FE0"/>
    <w:rsid w:val="00883E07"/>
    <w:rsid w:val="0088422F"/>
    <w:rsid w:val="008872FB"/>
    <w:rsid w:val="00891664"/>
    <w:rsid w:val="0089313D"/>
    <w:rsid w:val="008977E5"/>
    <w:rsid w:val="008A1695"/>
    <w:rsid w:val="008A2DD8"/>
    <w:rsid w:val="008A32C1"/>
    <w:rsid w:val="008A58B7"/>
    <w:rsid w:val="008B0C10"/>
    <w:rsid w:val="008B538D"/>
    <w:rsid w:val="008B6305"/>
    <w:rsid w:val="008C2568"/>
    <w:rsid w:val="008C28D8"/>
    <w:rsid w:val="008D48B9"/>
    <w:rsid w:val="008E2372"/>
    <w:rsid w:val="008E3689"/>
    <w:rsid w:val="008E69B4"/>
    <w:rsid w:val="008F1D1A"/>
    <w:rsid w:val="008F37F4"/>
    <w:rsid w:val="008F7D07"/>
    <w:rsid w:val="008F7F99"/>
    <w:rsid w:val="009015F8"/>
    <w:rsid w:val="0090197B"/>
    <w:rsid w:val="009037AA"/>
    <w:rsid w:val="00903B08"/>
    <w:rsid w:val="009070A8"/>
    <w:rsid w:val="0091006D"/>
    <w:rsid w:val="00911693"/>
    <w:rsid w:val="009202AB"/>
    <w:rsid w:val="009206B9"/>
    <w:rsid w:val="0093334E"/>
    <w:rsid w:val="00937E09"/>
    <w:rsid w:val="009416B3"/>
    <w:rsid w:val="00942E6A"/>
    <w:rsid w:val="00944532"/>
    <w:rsid w:val="00944C4B"/>
    <w:rsid w:val="00945793"/>
    <w:rsid w:val="009563A1"/>
    <w:rsid w:val="009601B0"/>
    <w:rsid w:val="00964800"/>
    <w:rsid w:val="009656AE"/>
    <w:rsid w:val="00970024"/>
    <w:rsid w:val="00971623"/>
    <w:rsid w:val="00975262"/>
    <w:rsid w:val="0098139A"/>
    <w:rsid w:val="0098581B"/>
    <w:rsid w:val="00993D77"/>
    <w:rsid w:val="009A04A8"/>
    <w:rsid w:val="009A0F1A"/>
    <w:rsid w:val="009A17D2"/>
    <w:rsid w:val="009A2EA6"/>
    <w:rsid w:val="009A6587"/>
    <w:rsid w:val="009A6CA5"/>
    <w:rsid w:val="009B3FDD"/>
    <w:rsid w:val="009B4467"/>
    <w:rsid w:val="009C7EF2"/>
    <w:rsid w:val="009E1BFD"/>
    <w:rsid w:val="009E4CE7"/>
    <w:rsid w:val="009E590B"/>
    <w:rsid w:val="009F0896"/>
    <w:rsid w:val="00A10A61"/>
    <w:rsid w:val="00A132DE"/>
    <w:rsid w:val="00A17BD8"/>
    <w:rsid w:val="00A21046"/>
    <w:rsid w:val="00A3040A"/>
    <w:rsid w:val="00A33F15"/>
    <w:rsid w:val="00A3641E"/>
    <w:rsid w:val="00A40FCD"/>
    <w:rsid w:val="00A41029"/>
    <w:rsid w:val="00A4129E"/>
    <w:rsid w:val="00A45304"/>
    <w:rsid w:val="00A47C96"/>
    <w:rsid w:val="00A537D5"/>
    <w:rsid w:val="00A541D9"/>
    <w:rsid w:val="00A55465"/>
    <w:rsid w:val="00A606B5"/>
    <w:rsid w:val="00A65DD9"/>
    <w:rsid w:val="00A71A0F"/>
    <w:rsid w:val="00A8462A"/>
    <w:rsid w:val="00A95F72"/>
    <w:rsid w:val="00AA4B2C"/>
    <w:rsid w:val="00AA66C2"/>
    <w:rsid w:val="00AA6D02"/>
    <w:rsid w:val="00AA7E1E"/>
    <w:rsid w:val="00AB0090"/>
    <w:rsid w:val="00AB2AEC"/>
    <w:rsid w:val="00AB2EB3"/>
    <w:rsid w:val="00AB58C9"/>
    <w:rsid w:val="00AB6755"/>
    <w:rsid w:val="00AD285E"/>
    <w:rsid w:val="00AD4B1E"/>
    <w:rsid w:val="00AD7E03"/>
    <w:rsid w:val="00AE5D09"/>
    <w:rsid w:val="00AF4E62"/>
    <w:rsid w:val="00AF69FF"/>
    <w:rsid w:val="00AF6D17"/>
    <w:rsid w:val="00B01A02"/>
    <w:rsid w:val="00B0495F"/>
    <w:rsid w:val="00B1379D"/>
    <w:rsid w:val="00B17760"/>
    <w:rsid w:val="00B316E2"/>
    <w:rsid w:val="00B457FF"/>
    <w:rsid w:val="00B55B75"/>
    <w:rsid w:val="00B60585"/>
    <w:rsid w:val="00B61CA5"/>
    <w:rsid w:val="00B62B86"/>
    <w:rsid w:val="00B73242"/>
    <w:rsid w:val="00B81152"/>
    <w:rsid w:val="00B821EE"/>
    <w:rsid w:val="00B83B01"/>
    <w:rsid w:val="00B918B9"/>
    <w:rsid w:val="00B91A31"/>
    <w:rsid w:val="00B91AE3"/>
    <w:rsid w:val="00B93646"/>
    <w:rsid w:val="00B94008"/>
    <w:rsid w:val="00B95AA4"/>
    <w:rsid w:val="00B95B85"/>
    <w:rsid w:val="00BA31FD"/>
    <w:rsid w:val="00BA4DAF"/>
    <w:rsid w:val="00BA5C59"/>
    <w:rsid w:val="00BA71FB"/>
    <w:rsid w:val="00BB30C5"/>
    <w:rsid w:val="00BB3DA7"/>
    <w:rsid w:val="00BC654E"/>
    <w:rsid w:val="00BD1316"/>
    <w:rsid w:val="00BE1C79"/>
    <w:rsid w:val="00BE21FF"/>
    <w:rsid w:val="00BE3738"/>
    <w:rsid w:val="00BE66F2"/>
    <w:rsid w:val="00BF0D31"/>
    <w:rsid w:val="00BF3A85"/>
    <w:rsid w:val="00C11B4A"/>
    <w:rsid w:val="00C13722"/>
    <w:rsid w:val="00C16BAE"/>
    <w:rsid w:val="00C230E6"/>
    <w:rsid w:val="00C34AF8"/>
    <w:rsid w:val="00C3641F"/>
    <w:rsid w:val="00C37BDC"/>
    <w:rsid w:val="00C442DD"/>
    <w:rsid w:val="00C474CE"/>
    <w:rsid w:val="00C50565"/>
    <w:rsid w:val="00C508EC"/>
    <w:rsid w:val="00C53FD6"/>
    <w:rsid w:val="00C63708"/>
    <w:rsid w:val="00C63F1C"/>
    <w:rsid w:val="00C679FE"/>
    <w:rsid w:val="00C72363"/>
    <w:rsid w:val="00C7458E"/>
    <w:rsid w:val="00C81394"/>
    <w:rsid w:val="00C8209A"/>
    <w:rsid w:val="00C84C1C"/>
    <w:rsid w:val="00C92604"/>
    <w:rsid w:val="00C927E8"/>
    <w:rsid w:val="00C95251"/>
    <w:rsid w:val="00C95DD0"/>
    <w:rsid w:val="00CA2404"/>
    <w:rsid w:val="00CA38C6"/>
    <w:rsid w:val="00CB1FEB"/>
    <w:rsid w:val="00CB5E72"/>
    <w:rsid w:val="00CC1C6E"/>
    <w:rsid w:val="00CC7A3E"/>
    <w:rsid w:val="00CC7BFA"/>
    <w:rsid w:val="00CF2862"/>
    <w:rsid w:val="00CF2D36"/>
    <w:rsid w:val="00D00D25"/>
    <w:rsid w:val="00D0201E"/>
    <w:rsid w:val="00D02A6C"/>
    <w:rsid w:val="00D034AC"/>
    <w:rsid w:val="00D14009"/>
    <w:rsid w:val="00D175D3"/>
    <w:rsid w:val="00D24CB8"/>
    <w:rsid w:val="00D24DC5"/>
    <w:rsid w:val="00D24F60"/>
    <w:rsid w:val="00D30EAA"/>
    <w:rsid w:val="00D37832"/>
    <w:rsid w:val="00D443B8"/>
    <w:rsid w:val="00D46953"/>
    <w:rsid w:val="00D57DCB"/>
    <w:rsid w:val="00D63E81"/>
    <w:rsid w:val="00D7319B"/>
    <w:rsid w:val="00D75F97"/>
    <w:rsid w:val="00D76F40"/>
    <w:rsid w:val="00D808DF"/>
    <w:rsid w:val="00D8553E"/>
    <w:rsid w:val="00D86655"/>
    <w:rsid w:val="00D943E0"/>
    <w:rsid w:val="00D9721B"/>
    <w:rsid w:val="00D97D09"/>
    <w:rsid w:val="00DA661F"/>
    <w:rsid w:val="00DB07DD"/>
    <w:rsid w:val="00DB1531"/>
    <w:rsid w:val="00DB19BD"/>
    <w:rsid w:val="00DB2B0E"/>
    <w:rsid w:val="00DB43D6"/>
    <w:rsid w:val="00DB5FDE"/>
    <w:rsid w:val="00DC30BC"/>
    <w:rsid w:val="00DD1E0B"/>
    <w:rsid w:val="00DD3463"/>
    <w:rsid w:val="00DD68FE"/>
    <w:rsid w:val="00DE3D09"/>
    <w:rsid w:val="00DE78F0"/>
    <w:rsid w:val="00DF00AA"/>
    <w:rsid w:val="00DF0DE7"/>
    <w:rsid w:val="00DF474A"/>
    <w:rsid w:val="00DF5751"/>
    <w:rsid w:val="00DF7430"/>
    <w:rsid w:val="00DF7A76"/>
    <w:rsid w:val="00E0187D"/>
    <w:rsid w:val="00E072F8"/>
    <w:rsid w:val="00E127C0"/>
    <w:rsid w:val="00E16817"/>
    <w:rsid w:val="00E215CE"/>
    <w:rsid w:val="00E27126"/>
    <w:rsid w:val="00E421E9"/>
    <w:rsid w:val="00E61445"/>
    <w:rsid w:val="00E629D5"/>
    <w:rsid w:val="00E6445A"/>
    <w:rsid w:val="00E72E89"/>
    <w:rsid w:val="00E74699"/>
    <w:rsid w:val="00E77C70"/>
    <w:rsid w:val="00E810C5"/>
    <w:rsid w:val="00E81420"/>
    <w:rsid w:val="00E8698B"/>
    <w:rsid w:val="00E936A0"/>
    <w:rsid w:val="00E94DD5"/>
    <w:rsid w:val="00E97693"/>
    <w:rsid w:val="00EB79B2"/>
    <w:rsid w:val="00EB7D5D"/>
    <w:rsid w:val="00EC0DF9"/>
    <w:rsid w:val="00EC52EB"/>
    <w:rsid w:val="00ED11B8"/>
    <w:rsid w:val="00ED523C"/>
    <w:rsid w:val="00ED7955"/>
    <w:rsid w:val="00EE2C7E"/>
    <w:rsid w:val="00EE3E0F"/>
    <w:rsid w:val="00EE431B"/>
    <w:rsid w:val="00EE5348"/>
    <w:rsid w:val="00EF2268"/>
    <w:rsid w:val="00EF2839"/>
    <w:rsid w:val="00EF3EF9"/>
    <w:rsid w:val="00EF65A5"/>
    <w:rsid w:val="00EF6787"/>
    <w:rsid w:val="00F006B8"/>
    <w:rsid w:val="00F1475C"/>
    <w:rsid w:val="00F1676B"/>
    <w:rsid w:val="00F20C97"/>
    <w:rsid w:val="00F23DD9"/>
    <w:rsid w:val="00F257AA"/>
    <w:rsid w:val="00F30EAD"/>
    <w:rsid w:val="00F31F33"/>
    <w:rsid w:val="00F32007"/>
    <w:rsid w:val="00F32DD7"/>
    <w:rsid w:val="00F34B09"/>
    <w:rsid w:val="00F4230A"/>
    <w:rsid w:val="00F45562"/>
    <w:rsid w:val="00F471B2"/>
    <w:rsid w:val="00F477C0"/>
    <w:rsid w:val="00F5078F"/>
    <w:rsid w:val="00F55465"/>
    <w:rsid w:val="00F55FEB"/>
    <w:rsid w:val="00F56CE6"/>
    <w:rsid w:val="00F63B2B"/>
    <w:rsid w:val="00F73181"/>
    <w:rsid w:val="00F758AE"/>
    <w:rsid w:val="00F86467"/>
    <w:rsid w:val="00F87696"/>
    <w:rsid w:val="00F93834"/>
    <w:rsid w:val="00F9445D"/>
    <w:rsid w:val="00F94F4D"/>
    <w:rsid w:val="00FA42B4"/>
    <w:rsid w:val="00FB1057"/>
    <w:rsid w:val="00FB4D47"/>
    <w:rsid w:val="00FB5154"/>
    <w:rsid w:val="00FB5276"/>
    <w:rsid w:val="00FD1DC0"/>
    <w:rsid w:val="00FD4AA5"/>
    <w:rsid w:val="00FD775E"/>
    <w:rsid w:val="00FE1F69"/>
    <w:rsid w:val="00FE3949"/>
    <w:rsid w:val="00FE4E63"/>
    <w:rsid w:val="00FF55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7775826-FFD8-40BE-AF2A-A68C0905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0F"/>
    <w:rPr>
      <w:rFonts w:ascii="Arial Narrow" w:hAnsi="Arial Narrow"/>
      <w:sz w:val="24"/>
      <w:lang w:val="es-ES" w:eastAsia="es-ES"/>
    </w:rPr>
  </w:style>
  <w:style w:type="paragraph" w:styleId="Ttulo1">
    <w:name w:val="heading 1"/>
    <w:basedOn w:val="Normal"/>
    <w:next w:val="Normal"/>
    <w:qFormat/>
    <w:rsid w:val="00266B0F"/>
    <w:pPr>
      <w:keepNext/>
      <w:jc w:val="both"/>
      <w:outlineLvl w:val="0"/>
    </w:pPr>
    <w:rPr>
      <w:rFonts w:ascii="Arial" w:hAnsi="Arial" w:cs="Arial"/>
      <w:b/>
      <w:bCs/>
      <w:sz w:val="22"/>
    </w:rPr>
  </w:style>
  <w:style w:type="paragraph" w:styleId="Ttulo2">
    <w:name w:val="heading 2"/>
    <w:basedOn w:val="Normal"/>
    <w:next w:val="Normal"/>
    <w:qFormat/>
    <w:rsid w:val="00266B0F"/>
    <w:pPr>
      <w:keepNext/>
      <w:jc w:val="center"/>
      <w:outlineLvl w:val="1"/>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266B0F"/>
    <w:pPr>
      <w:spacing w:before="100" w:beforeAutospacing="1" w:after="100" w:afterAutospacing="1"/>
    </w:pPr>
    <w:rPr>
      <w:rFonts w:ascii="Arial Unicode MS" w:eastAsia="Arial Unicode MS" w:hAnsi="Arial Unicode MS" w:cs="Arial Unicode MS"/>
      <w:szCs w:val="24"/>
    </w:rPr>
  </w:style>
  <w:style w:type="character" w:styleId="Textoennegrita">
    <w:name w:val="Strong"/>
    <w:basedOn w:val="Fuentedeprrafopredeter"/>
    <w:uiPriority w:val="22"/>
    <w:qFormat/>
    <w:rsid w:val="00266B0F"/>
    <w:rPr>
      <w:b/>
      <w:bCs/>
    </w:rPr>
  </w:style>
  <w:style w:type="paragraph" w:styleId="Textoindependiente">
    <w:name w:val="Body Text"/>
    <w:basedOn w:val="Normal"/>
    <w:rsid w:val="00266B0F"/>
    <w:pPr>
      <w:jc w:val="both"/>
    </w:pPr>
    <w:rPr>
      <w:rFonts w:ascii="Arial" w:hAnsi="Arial" w:cs="Arial"/>
      <w:sz w:val="22"/>
    </w:rPr>
  </w:style>
  <w:style w:type="paragraph" w:styleId="Textosinformato">
    <w:name w:val="Plain Text"/>
    <w:basedOn w:val="Normal"/>
    <w:link w:val="TextosinformatoCar"/>
    <w:rsid w:val="00BD1316"/>
    <w:pPr>
      <w:spacing w:before="100" w:beforeAutospacing="1" w:after="100" w:afterAutospacing="1"/>
    </w:pPr>
    <w:rPr>
      <w:rFonts w:ascii="Times New Roman" w:hAnsi="Times New Roman"/>
      <w:szCs w:val="24"/>
    </w:rPr>
  </w:style>
  <w:style w:type="character" w:customStyle="1" w:styleId="TextosinformatoCar">
    <w:name w:val="Texto sin formato Car"/>
    <w:basedOn w:val="Fuentedeprrafopredeter"/>
    <w:link w:val="Textosinformato"/>
    <w:rsid w:val="00B918B9"/>
    <w:rPr>
      <w:sz w:val="24"/>
      <w:szCs w:val="24"/>
      <w:lang w:val="es-ES" w:eastAsia="es-ES"/>
    </w:rPr>
  </w:style>
  <w:style w:type="paragraph" w:styleId="Prrafodelista">
    <w:name w:val="List Paragraph"/>
    <w:basedOn w:val="Normal"/>
    <w:uiPriority w:val="99"/>
    <w:qFormat/>
    <w:rsid w:val="00D63E81"/>
    <w:pPr>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unhideWhenUsed/>
    <w:rsid w:val="006C5339"/>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rsid w:val="006C5339"/>
    <w:rPr>
      <w:rFonts w:ascii="Tahoma" w:eastAsia="Calibri" w:hAnsi="Tahoma" w:cs="Tahoma"/>
      <w:sz w:val="16"/>
      <w:szCs w:val="16"/>
      <w:lang w:val="es-ES" w:eastAsia="en-US"/>
    </w:rPr>
  </w:style>
  <w:style w:type="paragraph" w:styleId="Encabezado">
    <w:name w:val="header"/>
    <w:basedOn w:val="Normal"/>
    <w:link w:val="EncabezadoCar"/>
    <w:rsid w:val="0059753C"/>
    <w:pPr>
      <w:tabs>
        <w:tab w:val="center" w:pos="4419"/>
        <w:tab w:val="right" w:pos="8838"/>
      </w:tabs>
    </w:pPr>
  </w:style>
  <w:style w:type="character" w:customStyle="1" w:styleId="EncabezadoCar">
    <w:name w:val="Encabezado Car"/>
    <w:basedOn w:val="Fuentedeprrafopredeter"/>
    <w:link w:val="Encabezado"/>
    <w:uiPriority w:val="99"/>
    <w:rsid w:val="0059753C"/>
    <w:rPr>
      <w:rFonts w:ascii="Arial Narrow" w:hAnsi="Arial Narrow"/>
      <w:sz w:val="24"/>
      <w:lang w:val="es-ES" w:eastAsia="es-ES"/>
    </w:rPr>
  </w:style>
  <w:style w:type="paragraph" w:styleId="Piedepgina">
    <w:name w:val="footer"/>
    <w:basedOn w:val="Normal"/>
    <w:link w:val="PiedepginaCar"/>
    <w:uiPriority w:val="99"/>
    <w:rsid w:val="0059753C"/>
    <w:pPr>
      <w:tabs>
        <w:tab w:val="center" w:pos="4419"/>
        <w:tab w:val="right" w:pos="8838"/>
      </w:tabs>
    </w:pPr>
  </w:style>
  <w:style w:type="character" w:customStyle="1" w:styleId="PiedepginaCar">
    <w:name w:val="Pie de página Car"/>
    <w:basedOn w:val="Fuentedeprrafopredeter"/>
    <w:link w:val="Piedepgina"/>
    <w:uiPriority w:val="99"/>
    <w:rsid w:val="0059753C"/>
    <w:rPr>
      <w:rFonts w:ascii="Arial Narrow" w:hAnsi="Arial Narrow"/>
      <w:sz w:val="24"/>
      <w:lang w:val="es-ES" w:eastAsia="es-ES"/>
    </w:rPr>
  </w:style>
  <w:style w:type="paragraph" w:styleId="Sangradetextonormal">
    <w:name w:val="Body Text Indent"/>
    <w:basedOn w:val="Normal"/>
    <w:link w:val="SangradetextonormalCar"/>
    <w:rsid w:val="00C474CE"/>
    <w:pPr>
      <w:spacing w:after="120"/>
      <w:ind w:left="283"/>
    </w:pPr>
  </w:style>
  <w:style w:type="character" w:customStyle="1" w:styleId="SangradetextonormalCar">
    <w:name w:val="Sangría de texto normal Car"/>
    <w:basedOn w:val="Fuentedeprrafopredeter"/>
    <w:link w:val="Sangradetextonormal"/>
    <w:rsid w:val="00C474CE"/>
    <w:rPr>
      <w:rFonts w:ascii="Arial Narrow" w:hAnsi="Arial Narrow"/>
      <w:sz w:val="24"/>
      <w:lang w:val="es-ES" w:eastAsia="es-ES"/>
    </w:rPr>
  </w:style>
  <w:style w:type="paragraph" w:styleId="Textonotapie">
    <w:name w:val="footnote text"/>
    <w:basedOn w:val="Normal"/>
    <w:link w:val="TextonotapieCar"/>
    <w:uiPriority w:val="99"/>
    <w:rsid w:val="00811F56"/>
    <w:rPr>
      <w:rFonts w:ascii="Times New Roman" w:hAnsi="Times New Roman"/>
      <w:sz w:val="20"/>
    </w:rPr>
  </w:style>
  <w:style w:type="character" w:customStyle="1" w:styleId="TextonotapieCar">
    <w:name w:val="Texto nota pie Car"/>
    <w:basedOn w:val="Fuentedeprrafopredeter"/>
    <w:link w:val="Textonotapie"/>
    <w:uiPriority w:val="99"/>
    <w:rsid w:val="00811F56"/>
    <w:rPr>
      <w:lang w:val="es-ES" w:eastAsia="es-ES"/>
    </w:rPr>
  </w:style>
  <w:style w:type="character" w:styleId="Refdenotaalpie">
    <w:name w:val="footnote reference"/>
    <w:basedOn w:val="Fuentedeprrafopredeter"/>
    <w:rsid w:val="00811F56"/>
    <w:rPr>
      <w:vertAlign w:val="superscript"/>
    </w:rPr>
  </w:style>
  <w:style w:type="paragraph" w:styleId="Descripcin">
    <w:name w:val="caption"/>
    <w:basedOn w:val="Normal"/>
    <w:next w:val="Normal"/>
    <w:unhideWhenUsed/>
    <w:qFormat/>
    <w:rsid w:val="001050E4"/>
    <w:pPr>
      <w:spacing w:after="200"/>
    </w:pPr>
    <w:rPr>
      <w:b/>
      <w:bCs/>
      <w:color w:val="4F81BD"/>
      <w:sz w:val="18"/>
      <w:szCs w:val="18"/>
    </w:rPr>
  </w:style>
  <w:style w:type="paragraph" w:customStyle="1" w:styleId="EstiloEpgrafeCentrado">
    <w:name w:val="Estilo Epígrafe + Centrado"/>
    <w:basedOn w:val="Descripcin"/>
    <w:rsid w:val="00645C07"/>
    <w:pPr>
      <w:spacing w:before="240" w:after="240"/>
      <w:jc w:val="center"/>
    </w:pPr>
    <w:rPr>
      <w:rFonts w:ascii="Arial" w:hAnsi="Arial"/>
      <w:color w:val="auto"/>
      <w:sz w:val="20"/>
      <w:szCs w:val="20"/>
    </w:rPr>
  </w:style>
  <w:style w:type="character" w:styleId="Refdecomentario">
    <w:name w:val="annotation reference"/>
    <w:basedOn w:val="Fuentedeprrafopredeter"/>
    <w:rsid w:val="006857D7"/>
    <w:rPr>
      <w:sz w:val="16"/>
      <w:szCs w:val="16"/>
    </w:rPr>
  </w:style>
  <w:style w:type="paragraph" w:styleId="Textocomentario">
    <w:name w:val="annotation text"/>
    <w:basedOn w:val="Normal"/>
    <w:link w:val="TextocomentarioCar"/>
    <w:rsid w:val="006857D7"/>
    <w:rPr>
      <w:sz w:val="20"/>
    </w:rPr>
  </w:style>
  <w:style w:type="character" w:customStyle="1" w:styleId="TextocomentarioCar">
    <w:name w:val="Texto comentario Car"/>
    <w:basedOn w:val="Fuentedeprrafopredeter"/>
    <w:link w:val="Textocomentario"/>
    <w:rsid w:val="006857D7"/>
    <w:rPr>
      <w:rFonts w:ascii="Arial Narrow" w:hAnsi="Arial Narrow"/>
    </w:rPr>
  </w:style>
  <w:style w:type="paragraph" w:styleId="Asuntodelcomentario">
    <w:name w:val="annotation subject"/>
    <w:basedOn w:val="Textocomentario"/>
    <w:next w:val="Textocomentario"/>
    <w:link w:val="AsuntodelcomentarioCar"/>
    <w:rsid w:val="006857D7"/>
    <w:rPr>
      <w:b/>
      <w:bCs/>
    </w:rPr>
  </w:style>
  <w:style w:type="character" w:customStyle="1" w:styleId="AsuntodelcomentarioCar">
    <w:name w:val="Asunto del comentario Car"/>
    <w:basedOn w:val="TextocomentarioCar"/>
    <w:link w:val="Asuntodelcomentario"/>
    <w:rsid w:val="006857D7"/>
    <w:rPr>
      <w:rFonts w:ascii="Arial Narrow" w:hAnsi="Arial Narrow"/>
      <w:b/>
      <w:bCs/>
    </w:rPr>
  </w:style>
  <w:style w:type="paragraph" w:styleId="Revisin">
    <w:name w:val="Revision"/>
    <w:hidden/>
    <w:uiPriority w:val="99"/>
    <w:semiHidden/>
    <w:rsid w:val="007A07E6"/>
    <w:rPr>
      <w:rFonts w:ascii="Arial Narrow" w:hAnsi="Arial Narrow"/>
      <w:sz w:val="24"/>
      <w:lang w:val="es-ES" w:eastAsia="es-ES"/>
    </w:rPr>
  </w:style>
  <w:style w:type="paragraph" w:customStyle="1" w:styleId="Default">
    <w:name w:val="Default"/>
    <w:rsid w:val="00642250"/>
    <w:pPr>
      <w:autoSpaceDE w:val="0"/>
      <w:autoSpaceDN w:val="0"/>
      <w:adjustRightInd w:val="0"/>
    </w:pPr>
    <w:rPr>
      <w:rFonts w:eastAsiaTheme="minorHAnsi"/>
      <w:color w:val="000000"/>
      <w:sz w:val="24"/>
      <w:szCs w:val="24"/>
      <w:lang w:val="es-ES" w:eastAsia="en-US"/>
    </w:rPr>
  </w:style>
  <w:style w:type="table" w:styleId="Listavistosa-nfasis2">
    <w:name w:val="Colorful List Accent 2"/>
    <w:basedOn w:val="Tablanormal"/>
    <w:uiPriority w:val="72"/>
    <w:rsid w:val="00642250"/>
    <w:rPr>
      <w:rFonts w:asciiTheme="minorHAnsi" w:eastAsiaTheme="minorHAnsi" w:hAnsiTheme="minorHAnsi" w:cstheme="minorBidi"/>
      <w:color w:val="000000" w:themeColor="text1"/>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Listavistosa1">
    <w:name w:val="Lista vistosa1"/>
    <w:basedOn w:val="Tablanormal"/>
    <w:uiPriority w:val="72"/>
    <w:rsid w:val="00DB43D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772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1301">
      <w:bodyDiv w:val="1"/>
      <w:marLeft w:val="0"/>
      <w:marRight w:val="0"/>
      <w:marTop w:val="0"/>
      <w:marBottom w:val="0"/>
      <w:divBdr>
        <w:top w:val="none" w:sz="0" w:space="0" w:color="auto"/>
        <w:left w:val="none" w:sz="0" w:space="0" w:color="auto"/>
        <w:bottom w:val="none" w:sz="0" w:space="0" w:color="auto"/>
        <w:right w:val="none" w:sz="0" w:space="0" w:color="auto"/>
      </w:divBdr>
    </w:div>
    <w:div w:id="161942490">
      <w:bodyDiv w:val="1"/>
      <w:marLeft w:val="0"/>
      <w:marRight w:val="0"/>
      <w:marTop w:val="0"/>
      <w:marBottom w:val="0"/>
      <w:divBdr>
        <w:top w:val="none" w:sz="0" w:space="0" w:color="auto"/>
        <w:left w:val="none" w:sz="0" w:space="0" w:color="auto"/>
        <w:bottom w:val="none" w:sz="0" w:space="0" w:color="auto"/>
        <w:right w:val="none" w:sz="0" w:space="0" w:color="auto"/>
      </w:divBdr>
      <w:divsChild>
        <w:div w:id="15930753">
          <w:marLeft w:val="0"/>
          <w:marRight w:val="0"/>
          <w:marTop w:val="0"/>
          <w:marBottom w:val="0"/>
          <w:divBdr>
            <w:top w:val="none" w:sz="0" w:space="0" w:color="auto"/>
            <w:left w:val="none" w:sz="0" w:space="0" w:color="auto"/>
            <w:bottom w:val="none" w:sz="0" w:space="0" w:color="auto"/>
            <w:right w:val="none" w:sz="0" w:space="0" w:color="auto"/>
          </w:divBdr>
          <w:divsChild>
            <w:div w:id="1322738071">
              <w:marLeft w:val="0"/>
              <w:marRight w:val="0"/>
              <w:marTop w:val="0"/>
              <w:marBottom w:val="0"/>
              <w:divBdr>
                <w:top w:val="none" w:sz="0" w:space="0" w:color="auto"/>
                <w:left w:val="none" w:sz="0" w:space="0" w:color="auto"/>
                <w:bottom w:val="none" w:sz="0" w:space="0" w:color="auto"/>
                <w:right w:val="none" w:sz="0" w:space="0" w:color="auto"/>
              </w:divBdr>
              <w:divsChild>
                <w:div w:id="2101952265">
                  <w:marLeft w:val="0"/>
                  <w:marRight w:val="0"/>
                  <w:marTop w:val="0"/>
                  <w:marBottom w:val="0"/>
                  <w:divBdr>
                    <w:top w:val="none" w:sz="0" w:space="0" w:color="auto"/>
                    <w:left w:val="none" w:sz="0" w:space="0" w:color="auto"/>
                    <w:bottom w:val="none" w:sz="0" w:space="0" w:color="auto"/>
                    <w:right w:val="none" w:sz="0" w:space="0" w:color="auto"/>
                  </w:divBdr>
                  <w:divsChild>
                    <w:div w:id="1973823374">
                      <w:marLeft w:val="0"/>
                      <w:marRight w:val="0"/>
                      <w:marTop w:val="0"/>
                      <w:marBottom w:val="0"/>
                      <w:divBdr>
                        <w:top w:val="none" w:sz="0" w:space="0" w:color="auto"/>
                        <w:left w:val="none" w:sz="0" w:space="0" w:color="auto"/>
                        <w:bottom w:val="none" w:sz="0" w:space="0" w:color="auto"/>
                        <w:right w:val="none" w:sz="0" w:space="0" w:color="auto"/>
                      </w:divBdr>
                      <w:divsChild>
                        <w:div w:id="21000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25741">
      <w:bodyDiv w:val="1"/>
      <w:marLeft w:val="0"/>
      <w:marRight w:val="0"/>
      <w:marTop w:val="0"/>
      <w:marBottom w:val="0"/>
      <w:divBdr>
        <w:top w:val="none" w:sz="0" w:space="0" w:color="auto"/>
        <w:left w:val="none" w:sz="0" w:space="0" w:color="auto"/>
        <w:bottom w:val="none" w:sz="0" w:space="0" w:color="auto"/>
        <w:right w:val="none" w:sz="0" w:space="0" w:color="auto"/>
      </w:divBdr>
    </w:div>
    <w:div w:id="406078781">
      <w:bodyDiv w:val="1"/>
      <w:marLeft w:val="0"/>
      <w:marRight w:val="0"/>
      <w:marTop w:val="0"/>
      <w:marBottom w:val="0"/>
      <w:divBdr>
        <w:top w:val="none" w:sz="0" w:space="0" w:color="auto"/>
        <w:left w:val="none" w:sz="0" w:space="0" w:color="auto"/>
        <w:bottom w:val="none" w:sz="0" w:space="0" w:color="auto"/>
        <w:right w:val="none" w:sz="0" w:space="0" w:color="auto"/>
      </w:divBdr>
    </w:div>
    <w:div w:id="464323337">
      <w:bodyDiv w:val="1"/>
      <w:marLeft w:val="0"/>
      <w:marRight w:val="0"/>
      <w:marTop w:val="0"/>
      <w:marBottom w:val="0"/>
      <w:divBdr>
        <w:top w:val="none" w:sz="0" w:space="0" w:color="auto"/>
        <w:left w:val="none" w:sz="0" w:space="0" w:color="auto"/>
        <w:bottom w:val="none" w:sz="0" w:space="0" w:color="auto"/>
        <w:right w:val="none" w:sz="0" w:space="0" w:color="auto"/>
      </w:divBdr>
      <w:divsChild>
        <w:div w:id="1983925694">
          <w:marLeft w:val="274"/>
          <w:marRight w:val="0"/>
          <w:marTop w:val="0"/>
          <w:marBottom w:val="0"/>
          <w:divBdr>
            <w:top w:val="none" w:sz="0" w:space="0" w:color="auto"/>
            <w:left w:val="none" w:sz="0" w:space="0" w:color="auto"/>
            <w:bottom w:val="none" w:sz="0" w:space="0" w:color="auto"/>
            <w:right w:val="none" w:sz="0" w:space="0" w:color="auto"/>
          </w:divBdr>
        </w:div>
      </w:divsChild>
    </w:div>
    <w:div w:id="484013704">
      <w:bodyDiv w:val="1"/>
      <w:marLeft w:val="0"/>
      <w:marRight w:val="0"/>
      <w:marTop w:val="0"/>
      <w:marBottom w:val="0"/>
      <w:divBdr>
        <w:top w:val="none" w:sz="0" w:space="0" w:color="auto"/>
        <w:left w:val="none" w:sz="0" w:space="0" w:color="auto"/>
        <w:bottom w:val="none" w:sz="0" w:space="0" w:color="auto"/>
        <w:right w:val="none" w:sz="0" w:space="0" w:color="auto"/>
      </w:divBdr>
      <w:divsChild>
        <w:div w:id="1891922035">
          <w:marLeft w:val="274"/>
          <w:marRight w:val="0"/>
          <w:marTop w:val="0"/>
          <w:marBottom w:val="0"/>
          <w:divBdr>
            <w:top w:val="none" w:sz="0" w:space="0" w:color="auto"/>
            <w:left w:val="none" w:sz="0" w:space="0" w:color="auto"/>
            <w:bottom w:val="none" w:sz="0" w:space="0" w:color="auto"/>
            <w:right w:val="none" w:sz="0" w:space="0" w:color="auto"/>
          </w:divBdr>
        </w:div>
      </w:divsChild>
    </w:div>
    <w:div w:id="533225651">
      <w:bodyDiv w:val="1"/>
      <w:marLeft w:val="0"/>
      <w:marRight w:val="0"/>
      <w:marTop w:val="0"/>
      <w:marBottom w:val="0"/>
      <w:divBdr>
        <w:top w:val="none" w:sz="0" w:space="0" w:color="auto"/>
        <w:left w:val="none" w:sz="0" w:space="0" w:color="auto"/>
        <w:bottom w:val="none" w:sz="0" w:space="0" w:color="auto"/>
        <w:right w:val="none" w:sz="0" w:space="0" w:color="auto"/>
      </w:divBdr>
      <w:divsChild>
        <w:div w:id="305625211">
          <w:marLeft w:val="0"/>
          <w:marRight w:val="0"/>
          <w:marTop w:val="0"/>
          <w:marBottom w:val="0"/>
          <w:divBdr>
            <w:top w:val="none" w:sz="0" w:space="0" w:color="auto"/>
            <w:left w:val="none" w:sz="0" w:space="0" w:color="auto"/>
            <w:bottom w:val="none" w:sz="0" w:space="0" w:color="auto"/>
            <w:right w:val="none" w:sz="0" w:space="0" w:color="auto"/>
          </w:divBdr>
          <w:divsChild>
            <w:div w:id="627593549">
              <w:marLeft w:val="0"/>
              <w:marRight w:val="0"/>
              <w:marTop w:val="0"/>
              <w:marBottom w:val="0"/>
              <w:divBdr>
                <w:top w:val="none" w:sz="0" w:space="0" w:color="auto"/>
                <w:left w:val="none" w:sz="0" w:space="0" w:color="auto"/>
                <w:bottom w:val="none" w:sz="0" w:space="0" w:color="auto"/>
                <w:right w:val="none" w:sz="0" w:space="0" w:color="auto"/>
              </w:divBdr>
              <w:divsChild>
                <w:div w:id="2084990111">
                  <w:marLeft w:val="0"/>
                  <w:marRight w:val="0"/>
                  <w:marTop w:val="0"/>
                  <w:marBottom w:val="0"/>
                  <w:divBdr>
                    <w:top w:val="none" w:sz="0" w:space="0" w:color="auto"/>
                    <w:left w:val="none" w:sz="0" w:space="0" w:color="auto"/>
                    <w:bottom w:val="none" w:sz="0" w:space="0" w:color="auto"/>
                    <w:right w:val="none" w:sz="0" w:space="0" w:color="auto"/>
                  </w:divBdr>
                  <w:divsChild>
                    <w:div w:id="42146858">
                      <w:marLeft w:val="0"/>
                      <w:marRight w:val="0"/>
                      <w:marTop w:val="0"/>
                      <w:marBottom w:val="0"/>
                      <w:divBdr>
                        <w:top w:val="none" w:sz="0" w:space="0" w:color="auto"/>
                        <w:left w:val="none" w:sz="0" w:space="0" w:color="auto"/>
                        <w:bottom w:val="none" w:sz="0" w:space="0" w:color="auto"/>
                        <w:right w:val="none" w:sz="0" w:space="0" w:color="auto"/>
                      </w:divBdr>
                      <w:divsChild>
                        <w:div w:id="142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203002">
      <w:bodyDiv w:val="1"/>
      <w:marLeft w:val="0"/>
      <w:marRight w:val="0"/>
      <w:marTop w:val="0"/>
      <w:marBottom w:val="0"/>
      <w:divBdr>
        <w:top w:val="none" w:sz="0" w:space="0" w:color="auto"/>
        <w:left w:val="none" w:sz="0" w:space="0" w:color="auto"/>
        <w:bottom w:val="none" w:sz="0" w:space="0" w:color="auto"/>
        <w:right w:val="none" w:sz="0" w:space="0" w:color="auto"/>
      </w:divBdr>
    </w:div>
    <w:div w:id="1203980524">
      <w:bodyDiv w:val="1"/>
      <w:marLeft w:val="0"/>
      <w:marRight w:val="0"/>
      <w:marTop w:val="0"/>
      <w:marBottom w:val="0"/>
      <w:divBdr>
        <w:top w:val="none" w:sz="0" w:space="0" w:color="auto"/>
        <w:left w:val="none" w:sz="0" w:space="0" w:color="auto"/>
        <w:bottom w:val="none" w:sz="0" w:space="0" w:color="auto"/>
        <w:right w:val="none" w:sz="0" w:space="0" w:color="auto"/>
      </w:divBdr>
    </w:div>
    <w:div w:id="1318074911">
      <w:bodyDiv w:val="1"/>
      <w:marLeft w:val="0"/>
      <w:marRight w:val="0"/>
      <w:marTop w:val="0"/>
      <w:marBottom w:val="0"/>
      <w:divBdr>
        <w:top w:val="none" w:sz="0" w:space="0" w:color="auto"/>
        <w:left w:val="none" w:sz="0" w:space="0" w:color="auto"/>
        <w:bottom w:val="none" w:sz="0" w:space="0" w:color="auto"/>
        <w:right w:val="none" w:sz="0" w:space="0" w:color="auto"/>
      </w:divBdr>
    </w:div>
    <w:div w:id="1452674667">
      <w:bodyDiv w:val="1"/>
      <w:marLeft w:val="0"/>
      <w:marRight w:val="0"/>
      <w:marTop w:val="0"/>
      <w:marBottom w:val="0"/>
      <w:divBdr>
        <w:top w:val="none" w:sz="0" w:space="0" w:color="auto"/>
        <w:left w:val="none" w:sz="0" w:space="0" w:color="auto"/>
        <w:bottom w:val="none" w:sz="0" w:space="0" w:color="auto"/>
        <w:right w:val="none" w:sz="0" w:space="0" w:color="auto"/>
      </w:divBdr>
    </w:div>
    <w:div w:id="1495221638">
      <w:bodyDiv w:val="1"/>
      <w:marLeft w:val="0"/>
      <w:marRight w:val="0"/>
      <w:marTop w:val="0"/>
      <w:marBottom w:val="0"/>
      <w:divBdr>
        <w:top w:val="none" w:sz="0" w:space="0" w:color="auto"/>
        <w:left w:val="none" w:sz="0" w:space="0" w:color="auto"/>
        <w:bottom w:val="none" w:sz="0" w:space="0" w:color="auto"/>
        <w:right w:val="none" w:sz="0" w:space="0" w:color="auto"/>
      </w:divBdr>
    </w:div>
    <w:div w:id="1631396850">
      <w:bodyDiv w:val="1"/>
      <w:marLeft w:val="0"/>
      <w:marRight w:val="0"/>
      <w:marTop w:val="0"/>
      <w:marBottom w:val="0"/>
      <w:divBdr>
        <w:top w:val="none" w:sz="0" w:space="0" w:color="auto"/>
        <w:left w:val="none" w:sz="0" w:space="0" w:color="auto"/>
        <w:bottom w:val="none" w:sz="0" w:space="0" w:color="auto"/>
        <w:right w:val="none" w:sz="0" w:space="0" w:color="auto"/>
      </w:divBdr>
    </w:div>
    <w:div w:id="1875993264">
      <w:bodyDiv w:val="1"/>
      <w:marLeft w:val="0"/>
      <w:marRight w:val="0"/>
      <w:marTop w:val="0"/>
      <w:marBottom w:val="0"/>
      <w:divBdr>
        <w:top w:val="none" w:sz="0" w:space="0" w:color="auto"/>
        <w:left w:val="none" w:sz="0" w:space="0" w:color="auto"/>
        <w:bottom w:val="none" w:sz="0" w:space="0" w:color="auto"/>
        <w:right w:val="none" w:sz="0" w:space="0" w:color="auto"/>
      </w:divBdr>
    </w:div>
    <w:div w:id="2029258368">
      <w:bodyDiv w:val="1"/>
      <w:marLeft w:val="0"/>
      <w:marRight w:val="0"/>
      <w:marTop w:val="0"/>
      <w:marBottom w:val="0"/>
      <w:divBdr>
        <w:top w:val="none" w:sz="0" w:space="0" w:color="auto"/>
        <w:left w:val="none" w:sz="0" w:space="0" w:color="auto"/>
        <w:bottom w:val="none" w:sz="0" w:space="0" w:color="auto"/>
        <w:right w:val="none" w:sz="0" w:space="0" w:color="auto"/>
      </w:divBdr>
    </w:div>
    <w:div w:id="20430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diagramColors" Target="diagrams/colors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QuickStyle" Target="diagrams/quickStyle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subpesca.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chart" Target="charts/chart3.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diagramLayout" Target="diagrams/layout2.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rnia.produce.gob.pe/images/stories/archivos/pdf/publicaciones/diagnostico_arel_amype_america_latin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M:\Captura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E:\PROYECTOS\EVALUACIONES%20VARIAS\Informe%20Acuicultura%20Mundial%20-%20Per&#250;\Proyecciones%20Acuicultura%202011,%202015%20y%202018%20(Autoguardado).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MINISTERIO%20DE%20LA%20PRODUCCION\DGA\ESTADISTICAS\Venta%20Interna%20de%20acuicultura%20seg&#250;n%20especie%20(TMB).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vid\Desktop\Cosecha%20de%20acuicultura%20seg&#250;n%20&#225;mbito%20y%20especie%20(T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ROYECTOS\EVALUACIONES%20VARIAS\Informe%20Acuicultura%20Mundial%20-%20Per&#250;\Proyecciones%20Acuicultura%202011,%202015%20y%202018%20(Autoguardado).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E:\Beneficios%20Tributario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25035453202807"/>
          <c:y val="1.9546347074275522E-2"/>
          <c:w val="0.77940553768206944"/>
          <c:h val="0.71554741551687873"/>
        </c:manualLayout>
      </c:layout>
      <c:lineChart>
        <c:grouping val="stacked"/>
        <c:varyColors val="0"/>
        <c:ser>
          <c:idx val="0"/>
          <c:order val="0"/>
          <c:tx>
            <c:strRef>
              <c:f>Pesca!$B$39</c:f>
              <c:strCache>
                <c:ptCount val="1"/>
                <c:pt idx="0">
                  <c:v>Cosecha de Acuicultura Mundial</c:v>
                </c:pt>
              </c:strCache>
            </c:strRef>
          </c:tx>
          <c:spPr>
            <a:ln>
              <a:solidFill>
                <a:schemeClr val="tx1"/>
              </a:solidFill>
            </a:ln>
          </c:spPr>
          <c:marker>
            <c:symbol val="circle"/>
            <c:size val="6"/>
            <c:spPr>
              <a:noFill/>
              <a:ln>
                <a:solidFill>
                  <a:srgbClr val="FF0000"/>
                </a:solidFill>
              </a:ln>
            </c:spPr>
          </c:marker>
          <c:dLbls>
            <c:dLbl>
              <c:idx val="0"/>
              <c:layout>
                <c:manualLayout>
                  <c:x val="-2.7996500437445355E-2"/>
                  <c:y val="-4.264391369498655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496937882764767E-2"/>
                  <c:y val="-3.980098611532089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996500437445355E-2"/>
                  <c:y val="-3.411513095598925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1496062992126012E-2"/>
                  <c:y val="-3.411513095598920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1496062992126012E-2"/>
                  <c:y val="-3.127220337632361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8495188101487381E-2"/>
                  <c:y val="-3.411513095598925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1994750656168083E-2"/>
                  <c:y val="-3.411513095598925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6745406824147002E-2"/>
                  <c:y val="-3.695805853565501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8495188101487311E-2"/>
                  <c:y val="-3.695805853565501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7244094488188976E-2"/>
                  <c:y val="-3.411513095598925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8993875765529306E-2"/>
                  <c:y val="-2.558634821699199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4.1994888434221257E-2"/>
                  <c:y val="-2.8429275796657716E-2"/>
                </c:manualLayout>
              </c:layout>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lang="es-ES"/>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Pesca!$C$38:$N$38</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Pesca!$C$39:$N$39</c:f>
              <c:numCache>
                <c:formatCode>#,##0.00</c:formatCode>
                <c:ptCount val="12"/>
                <c:pt idx="0">
                  <c:v>41724311.600000001</c:v>
                </c:pt>
                <c:pt idx="1">
                  <c:v>44329276.5</c:v>
                </c:pt>
                <c:pt idx="2">
                  <c:v>47384362.5</c:v>
                </c:pt>
                <c:pt idx="3">
                  <c:v>50318956.700000003</c:v>
                </c:pt>
                <c:pt idx="4">
                  <c:v>54587777.300000004</c:v>
                </c:pt>
                <c:pt idx="5">
                  <c:v>57835143.700000003</c:v>
                </c:pt>
                <c:pt idx="6">
                  <c:v>61401865.5</c:v>
                </c:pt>
                <c:pt idx="7">
                  <c:v>64956462.700000003</c:v>
                </c:pt>
                <c:pt idx="8" formatCode="#,##0">
                  <c:v>68851543</c:v>
                </c:pt>
                <c:pt idx="9">
                  <c:v>73093355.299999997</c:v>
                </c:pt>
                <c:pt idx="10">
                  <c:v>78091908.200000003</c:v>
                </c:pt>
                <c:pt idx="11">
                  <c:v>83729313.400000006</c:v>
                </c:pt>
              </c:numCache>
            </c:numRef>
          </c:val>
          <c:smooth val="0"/>
        </c:ser>
        <c:dLbls>
          <c:showLegendKey val="0"/>
          <c:showVal val="0"/>
          <c:showCatName val="0"/>
          <c:showSerName val="0"/>
          <c:showPercent val="0"/>
          <c:showBubbleSize val="0"/>
        </c:dLbls>
        <c:marker val="1"/>
        <c:smooth val="0"/>
        <c:axId val="213417088"/>
        <c:axId val="385578240"/>
      </c:lineChart>
      <c:catAx>
        <c:axId val="213417088"/>
        <c:scaling>
          <c:orientation val="minMax"/>
        </c:scaling>
        <c:delete val="0"/>
        <c:axPos val="b"/>
        <c:numFmt formatCode="General" sourceLinked="1"/>
        <c:majorTickMark val="out"/>
        <c:minorTickMark val="none"/>
        <c:tickLblPos val="nextTo"/>
        <c:txPr>
          <a:bodyPr/>
          <a:lstStyle/>
          <a:p>
            <a:pPr>
              <a:defRPr lang="es-ES"/>
            </a:pPr>
            <a:endParaRPr lang="es-PE"/>
          </a:p>
        </c:txPr>
        <c:crossAx val="385578240"/>
        <c:crossesAt val="0"/>
        <c:auto val="1"/>
        <c:lblAlgn val="ctr"/>
        <c:lblOffset val="100"/>
        <c:tickMarkSkip val="1"/>
        <c:noMultiLvlLbl val="0"/>
      </c:catAx>
      <c:valAx>
        <c:axId val="385578240"/>
        <c:scaling>
          <c:orientation val="minMax"/>
        </c:scaling>
        <c:delete val="0"/>
        <c:axPos val="l"/>
        <c:majorGridlines/>
        <c:title>
          <c:tx>
            <c:rich>
              <a:bodyPr rot="-5400000" vert="horz"/>
              <a:lstStyle/>
              <a:p>
                <a:pPr>
                  <a:defRPr lang="es-ES" sz="900"/>
                </a:pPr>
                <a:r>
                  <a:rPr lang="en-US" sz="900"/>
                  <a:t>Toneladas</a:t>
                </a:r>
              </a:p>
            </c:rich>
          </c:tx>
          <c:overlay val="0"/>
        </c:title>
        <c:numFmt formatCode="#,##0.00" sourceLinked="1"/>
        <c:majorTickMark val="out"/>
        <c:minorTickMark val="none"/>
        <c:tickLblPos val="nextTo"/>
        <c:txPr>
          <a:bodyPr/>
          <a:lstStyle/>
          <a:p>
            <a:pPr>
              <a:defRPr lang="es-ES"/>
            </a:pPr>
            <a:endParaRPr lang="es-PE"/>
          </a:p>
        </c:txPr>
        <c:crossAx val="213417088"/>
        <c:crosses val="autoZero"/>
        <c:crossBetween val="between"/>
        <c:dispUnits>
          <c:builtInUnit val="millions"/>
          <c:dispUnitsLbl>
            <c:txPr>
              <a:bodyPr/>
              <a:lstStyle/>
              <a:p>
                <a:pPr>
                  <a:defRPr lang="es-ES" sz="800"/>
                </a:pPr>
                <a:endParaRPr lang="es-PE"/>
              </a:p>
            </c:txPr>
          </c:dispUnitsLbl>
        </c:dispUnits>
      </c:valAx>
      <c:spPr>
        <a:solidFill>
          <a:schemeClr val="bg1">
            <a:lumMod val="85000"/>
          </a:schemeClr>
        </a:solidFill>
      </c:spPr>
    </c:plotArea>
    <c:legend>
      <c:legendPos val="b"/>
      <c:overlay val="0"/>
      <c:txPr>
        <a:bodyPr/>
        <a:lstStyle/>
        <a:p>
          <a:pPr>
            <a:defRPr lang="es-ES" sz="800"/>
          </a:pPr>
          <a:endParaRPr lang="es-PE"/>
        </a:p>
      </c:txPr>
    </c:legend>
    <c:plotVisOnly val="1"/>
    <c:dispBlanksAs val="zero"/>
    <c:showDLblsOverMax val="0"/>
  </c:chart>
  <c:txPr>
    <a:bodyPr/>
    <a:lstStyle/>
    <a:p>
      <a:pPr>
        <a:defRPr sz="700">
          <a:latin typeface="+mj-lt"/>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FFC000"/>
            </a:solidFill>
            <a:ln>
              <a:solidFill>
                <a:srgbClr val="FFC000"/>
              </a:solidFill>
            </a:ln>
          </c:spPr>
          <c:invertIfNegative val="0"/>
          <c:dLbls>
            <c:dLbl>
              <c:idx val="0"/>
              <c:layout>
                <c:manualLayout>
                  <c:x val="-2.1379410906970206E-3"/>
                  <c:y val="5.56163194444448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949110527850708E-3"/>
                  <c:y val="1.257378472222222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2117235345581812E-3"/>
                  <c:y val="9.1970486111111107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1656459609219E-3"/>
                  <c:y val="4.4661458333333523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2526975794692388E-3"/>
                  <c:y val="3.8396990740740801E-4"/>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5684126440716791E-4"/>
                  <c:y val="6.627248517012296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3483522892971801E-3"/>
                  <c:y val="4.7034143518518579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5781125185438852E-4"/>
                  <c:y val="1.399748108409530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3091863517060597E-3"/>
                  <c:y val="-1.185198004095640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5048727604701621E-3"/>
                  <c:y val="1.337409746858566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8735821065845194E-3"/>
                  <c:y val="1.5048503552440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s-ES" sz="800"/>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'Exportaciones TM'!$F$8:$R$8</c:f>
              <c:strCache>
                <c:ptCount val="13"/>
                <c:pt idx="0">
                  <c:v>2000 </c:v>
                </c:pt>
                <c:pt idx="1">
                  <c:v>2001 </c:v>
                </c:pt>
                <c:pt idx="2">
                  <c:v>2002 </c:v>
                </c:pt>
                <c:pt idx="3">
                  <c:v>2003 </c:v>
                </c:pt>
                <c:pt idx="4">
                  <c:v>2004 </c:v>
                </c:pt>
                <c:pt idx="5">
                  <c:v>2005 </c:v>
                </c:pt>
                <c:pt idx="6">
                  <c:v>2006 </c:v>
                </c:pt>
                <c:pt idx="7">
                  <c:v>2007 </c:v>
                </c:pt>
                <c:pt idx="8">
                  <c:v>2008 </c:v>
                </c:pt>
                <c:pt idx="9">
                  <c:v>2009 </c:v>
                </c:pt>
                <c:pt idx="10">
                  <c:v>2010 </c:v>
                </c:pt>
                <c:pt idx="11">
                  <c:v>2011 </c:v>
                </c:pt>
                <c:pt idx="12">
                  <c:v>2012 (*)</c:v>
                </c:pt>
              </c:strCache>
            </c:strRef>
          </c:cat>
          <c:val>
            <c:numRef>
              <c:f>'Exportaciones TM'!$F$10:$P$10</c:f>
              <c:numCache>
                <c:formatCode>#,##0</c:formatCode>
                <c:ptCount val="11"/>
                <c:pt idx="0">
                  <c:v>1309</c:v>
                </c:pt>
                <c:pt idx="1">
                  <c:v>1539</c:v>
                </c:pt>
                <c:pt idx="2">
                  <c:v>2296</c:v>
                </c:pt>
                <c:pt idx="3">
                  <c:v>4784</c:v>
                </c:pt>
                <c:pt idx="4">
                  <c:v>6338</c:v>
                </c:pt>
                <c:pt idx="5">
                  <c:v>9352</c:v>
                </c:pt>
                <c:pt idx="6">
                  <c:v>10701.1</c:v>
                </c:pt>
                <c:pt idx="7">
                  <c:v>12958</c:v>
                </c:pt>
                <c:pt idx="8">
                  <c:v>13998.02</c:v>
                </c:pt>
                <c:pt idx="9">
                  <c:v>22259</c:v>
                </c:pt>
                <c:pt idx="10">
                  <c:v>20961</c:v>
                </c:pt>
              </c:numCache>
            </c:numRef>
          </c:val>
        </c:ser>
        <c:ser>
          <c:idx val="2"/>
          <c:order val="1"/>
          <c:invertIfNegative val="0"/>
          <c:dPt>
            <c:idx val="11"/>
            <c:invertIfNegative val="0"/>
            <c:bubble3D val="0"/>
            <c:spPr>
              <a:solidFill>
                <a:srgbClr val="002060"/>
              </a:solidFill>
              <a:ln>
                <a:solidFill>
                  <a:srgbClr val="002060"/>
                </a:solidFill>
              </a:ln>
            </c:spPr>
          </c:dPt>
          <c:dPt>
            <c:idx val="12"/>
            <c:invertIfNegative val="0"/>
            <c:bubble3D val="0"/>
            <c:spPr>
              <a:solidFill>
                <a:srgbClr val="FFC000"/>
              </a:solidFill>
              <a:ln>
                <a:solidFill>
                  <a:srgbClr val="FFC000"/>
                </a:solidFill>
              </a:ln>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layout>
                <c:manualLayout>
                  <c:x val="0"/>
                  <c:y val="8.0578389239806848E-3"/>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3.8341207349081442E-3"/>
                  <c:y val="-1.502889061944182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s-ES" sz="800"/>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'Exportaciones TM'!$F$8:$R$8</c:f>
              <c:strCache>
                <c:ptCount val="13"/>
                <c:pt idx="0">
                  <c:v>2000 </c:v>
                </c:pt>
                <c:pt idx="1">
                  <c:v>2001 </c:v>
                </c:pt>
                <c:pt idx="2">
                  <c:v>2002 </c:v>
                </c:pt>
                <c:pt idx="3">
                  <c:v>2003 </c:v>
                </c:pt>
                <c:pt idx="4">
                  <c:v>2004 </c:v>
                </c:pt>
                <c:pt idx="5">
                  <c:v>2005 </c:v>
                </c:pt>
                <c:pt idx="6">
                  <c:v>2006 </c:v>
                </c:pt>
                <c:pt idx="7">
                  <c:v>2007 </c:v>
                </c:pt>
                <c:pt idx="8">
                  <c:v>2008 </c:v>
                </c:pt>
                <c:pt idx="9">
                  <c:v>2009 </c:v>
                </c:pt>
                <c:pt idx="10">
                  <c:v>2010 </c:v>
                </c:pt>
                <c:pt idx="11">
                  <c:v>2011 </c:v>
                </c:pt>
                <c:pt idx="12">
                  <c:v>2012 (*)</c:v>
                </c:pt>
              </c:strCache>
            </c:strRef>
          </c:cat>
          <c:val>
            <c:numRef>
              <c:f>'Exportaciones TM'!$F$11:$R$11</c:f>
              <c:numCache>
                <c:formatCode>#,##0</c:formatCode>
                <c:ptCount val="13"/>
                <c:pt idx="0">
                  <c:v>0</c:v>
                </c:pt>
                <c:pt idx="1">
                  <c:v>0</c:v>
                </c:pt>
                <c:pt idx="2">
                  <c:v>0</c:v>
                </c:pt>
                <c:pt idx="3">
                  <c:v>0</c:v>
                </c:pt>
                <c:pt idx="4">
                  <c:v>0</c:v>
                </c:pt>
                <c:pt idx="5">
                  <c:v>0</c:v>
                </c:pt>
                <c:pt idx="6">
                  <c:v>0</c:v>
                </c:pt>
                <c:pt idx="7">
                  <c:v>0</c:v>
                </c:pt>
                <c:pt idx="8">
                  <c:v>0</c:v>
                </c:pt>
                <c:pt idx="9">
                  <c:v>0</c:v>
                </c:pt>
                <c:pt idx="10">
                  <c:v>0</c:v>
                </c:pt>
                <c:pt idx="11">
                  <c:v>28738.809999999896</c:v>
                </c:pt>
                <c:pt idx="12">
                  <c:v>19055.480000000021</c:v>
                </c:pt>
              </c:numCache>
            </c:numRef>
          </c:val>
        </c:ser>
        <c:dLbls>
          <c:showLegendKey val="0"/>
          <c:showVal val="0"/>
          <c:showCatName val="0"/>
          <c:showSerName val="0"/>
          <c:showPercent val="0"/>
          <c:showBubbleSize val="0"/>
        </c:dLbls>
        <c:gapWidth val="72"/>
        <c:overlap val="75"/>
        <c:axId val="211581728"/>
        <c:axId val="211581336"/>
      </c:barChart>
      <c:catAx>
        <c:axId val="211581728"/>
        <c:scaling>
          <c:orientation val="minMax"/>
        </c:scaling>
        <c:delete val="0"/>
        <c:axPos val="b"/>
        <c:numFmt formatCode="General" sourceLinked="1"/>
        <c:majorTickMark val="out"/>
        <c:minorTickMark val="none"/>
        <c:tickLblPos val="nextTo"/>
        <c:txPr>
          <a:bodyPr/>
          <a:lstStyle/>
          <a:p>
            <a:pPr>
              <a:defRPr lang="es-ES" sz="800"/>
            </a:pPr>
            <a:endParaRPr lang="es-PE"/>
          </a:p>
        </c:txPr>
        <c:crossAx val="211581336"/>
        <c:crosses val="autoZero"/>
        <c:auto val="1"/>
        <c:lblAlgn val="ctr"/>
        <c:lblOffset val="100"/>
        <c:noMultiLvlLbl val="0"/>
      </c:catAx>
      <c:valAx>
        <c:axId val="211581336"/>
        <c:scaling>
          <c:orientation val="minMax"/>
        </c:scaling>
        <c:delete val="0"/>
        <c:axPos val="l"/>
        <c:majorGridlines/>
        <c:numFmt formatCode="#,##0" sourceLinked="1"/>
        <c:majorTickMark val="out"/>
        <c:minorTickMark val="none"/>
        <c:tickLblPos val="nextTo"/>
        <c:txPr>
          <a:bodyPr/>
          <a:lstStyle/>
          <a:p>
            <a:pPr>
              <a:defRPr lang="es-ES" sz="800"/>
            </a:pPr>
            <a:endParaRPr lang="es-PE"/>
          </a:p>
        </c:txPr>
        <c:crossAx val="211581728"/>
        <c:crosses val="autoZero"/>
        <c:crossBetween val="between"/>
      </c:valAx>
    </c:plotArea>
    <c:plotVisOnly val="1"/>
    <c:dispBlanksAs val="gap"/>
    <c:showDLblsOverMax val="0"/>
  </c:chart>
  <c:spPr>
    <a:noFill/>
    <a:ln>
      <a:noFill/>
    </a:ln>
  </c:spPr>
  <c:txPr>
    <a:bodyPr/>
    <a:lstStyle/>
    <a:p>
      <a:pPr>
        <a:defRPr b="1"/>
      </a:pPr>
      <a:endParaRPr lang="es-PE"/>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manualLayout>
          <c:layoutTarget val="inner"/>
          <c:xMode val="edge"/>
          <c:yMode val="edge"/>
          <c:x val="5.8310733470689394E-2"/>
          <c:y val="2.6410751603908097E-2"/>
          <c:w val="0.93739811428236786"/>
          <c:h val="0.85702455382305565"/>
        </c:manualLayout>
      </c:layout>
      <c:barChart>
        <c:barDir val="col"/>
        <c:grouping val="clustered"/>
        <c:varyColors val="0"/>
        <c:ser>
          <c:idx val="0"/>
          <c:order val="0"/>
          <c:invertIfNegative val="0"/>
          <c:dPt>
            <c:idx val="9"/>
            <c:invertIfNegative val="0"/>
            <c:bubble3D val="0"/>
            <c:spPr>
              <a:solidFill>
                <a:srgbClr val="006600"/>
              </a:solidFill>
              <a:ln>
                <a:solidFill>
                  <a:srgbClr val="006600"/>
                </a:solidFill>
              </a:ln>
            </c:spPr>
          </c:dPt>
          <c:dLbls>
            <c:dLbl>
              <c:idx val="0"/>
              <c:layout>
                <c:manualLayout>
                  <c:x val="-8.7255590488130048E-3"/>
                  <c:y val="-8.597424360256270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6150189649602214E-3"/>
                  <c:y val="9.0693047994668159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4780788980267839E-3"/>
                  <c:y val="6.187969855201279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8542516735182637E-3"/>
                  <c:y val="-6.8042208273154815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9155302640800633E-3"/>
                  <c:y val="1.072971058771254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7627903177697413E-3"/>
                  <c:y val="6.1581699255638875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2434056561599436E-3"/>
                  <c:y val="-3.8132337147724754E-4"/>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3913133845726402E-3"/>
                  <c:y val="5.7314233603674293E-4"/>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0696077122956098E-2"/>
                  <c:y val="-2.6414889086397809E-4"/>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5733514778520921E-3"/>
                  <c:y val="-6.35056752953375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s-ES" sz="800"/>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'VENTA INTERNA'!$E$4:$N$4</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'VENTA INTERNA'!$E$5:$N$5</c:f>
              <c:numCache>
                <c:formatCode>#,##0</c:formatCode>
                <c:ptCount val="10"/>
                <c:pt idx="0">
                  <c:v>1747.1499999999999</c:v>
                </c:pt>
                <c:pt idx="1">
                  <c:v>5949</c:v>
                </c:pt>
                <c:pt idx="2">
                  <c:v>5793</c:v>
                </c:pt>
                <c:pt idx="3">
                  <c:v>6033</c:v>
                </c:pt>
                <c:pt idx="4">
                  <c:v>8954.4130600000008</c:v>
                </c:pt>
                <c:pt idx="5">
                  <c:v>13603</c:v>
                </c:pt>
                <c:pt idx="6">
                  <c:v>15980.880000000003</c:v>
                </c:pt>
                <c:pt idx="7">
                  <c:v>15355.12</c:v>
                </c:pt>
                <c:pt idx="8">
                  <c:v>20264.962888000129</c:v>
                </c:pt>
                <c:pt idx="9">
                  <c:v>20604.469999999994</c:v>
                </c:pt>
              </c:numCache>
            </c:numRef>
          </c:val>
        </c:ser>
        <c:dLbls>
          <c:showLegendKey val="0"/>
          <c:showVal val="0"/>
          <c:showCatName val="0"/>
          <c:showSerName val="0"/>
          <c:showPercent val="0"/>
          <c:showBubbleSize val="0"/>
        </c:dLbls>
        <c:gapWidth val="150"/>
        <c:axId val="297634608"/>
        <c:axId val="297635000"/>
      </c:barChart>
      <c:catAx>
        <c:axId val="297634608"/>
        <c:scaling>
          <c:orientation val="minMax"/>
        </c:scaling>
        <c:delete val="0"/>
        <c:axPos val="b"/>
        <c:numFmt formatCode="General" sourceLinked="0"/>
        <c:majorTickMark val="out"/>
        <c:minorTickMark val="none"/>
        <c:tickLblPos val="nextTo"/>
        <c:txPr>
          <a:bodyPr/>
          <a:lstStyle/>
          <a:p>
            <a:pPr>
              <a:defRPr lang="es-ES" sz="800"/>
            </a:pPr>
            <a:endParaRPr lang="es-PE"/>
          </a:p>
        </c:txPr>
        <c:crossAx val="297635000"/>
        <c:crosses val="autoZero"/>
        <c:auto val="1"/>
        <c:lblAlgn val="ctr"/>
        <c:lblOffset val="100"/>
        <c:noMultiLvlLbl val="0"/>
      </c:catAx>
      <c:valAx>
        <c:axId val="297635000"/>
        <c:scaling>
          <c:orientation val="minMax"/>
        </c:scaling>
        <c:delete val="0"/>
        <c:axPos val="l"/>
        <c:majorGridlines/>
        <c:numFmt formatCode="#,##0" sourceLinked="1"/>
        <c:majorTickMark val="out"/>
        <c:minorTickMark val="none"/>
        <c:tickLblPos val="nextTo"/>
        <c:txPr>
          <a:bodyPr/>
          <a:lstStyle/>
          <a:p>
            <a:pPr>
              <a:defRPr lang="es-ES" sz="800"/>
            </a:pPr>
            <a:endParaRPr lang="es-PE"/>
          </a:p>
        </c:txPr>
        <c:crossAx val="297634608"/>
        <c:crosses val="autoZero"/>
        <c:crossBetween val="between"/>
      </c:valAx>
    </c:plotArea>
    <c:plotVisOnly val="1"/>
    <c:dispBlanksAs val="gap"/>
    <c:showDLblsOverMax val="0"/>
  </c:chart>
  <c:spPr>
    <a:noFill/>
    <a:ln>
      <a:noFill/>
    </a:ln>
  </c:spPr>
  <c:txPr>
    <a:bodyPr/>
    <a:lstStyle/>
    <a:p>
      <a:pPr>
        <a:defRPr sz="1000" b="1"/>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Hoja1!$B$4</c:f>
              <c:strCache>
                <c:ptCount val="1"/>
                <c:pt idx="0">
                  <c:v>Caballa</c:v>
                </c:pt>
              </c:strCache>
            </c:strRef>
          </c:tx>
          <c:marker>
            <c:symbol val="none"/>
          </c:marker>
          <c:cat>
            <c:numRef>
              <c:f>Hoja1!$C$3:$M$3</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Hoja1!$C$4:$M$4</c:f>
              <c:numCache>
                <c:formatCode>_(* #,##0.00_);_(* \(#,##0.00\);_(* "-"??_);_(@_)</c:formatCode>
                <c:ptCount val="11"/>
                <c:pt idx="0">
                  <c:v>176202</c:v>
                </c:pt>
                <c:pt idx="1">
                  <c:v>32698</c:v>
                </c:pt>
                <c:pt idx="2">
                  <c:v>94384</c:v>
                </c:pt>
                <c:pt idx="3">
                  <c:v>62255</c:v>
                </c:pt>
                <c:pt idx="4">
                  <c:v>52895</c:v>
                </c:pt>
                <c:pt idx="5">
                  <c:v>102322</c:v>
                </c:pt>
                <c:pt idx="6">
                  <c:v>62387</c:v>
                </c:pt>
                <c:pt idx="7">
                  <c:v>92989</c:v>
                </c:pt>
                <c:pt idx="8">
                  <c:v>110605</c:v>
                </c:pt>
                <c:pt idx="9">
                  <c:v>20467</c:v>
                </c:pt>
                <c:pt idx="10">
                  <c:v>44276</c:v>
                </c:pt>
              </c:numCache>
            </c:numRef>
          </c:val>
          <c:smooth val="0"/>
        </c:ser>
        <c:ser>
          <c:idx val="1"/>
          <c:order val="1"/>
          <c:tx>
            <c:strRef>
              <c:f>Hoja1!$B$5</c:f>
              <c:strCache>
                <c:ptCount val="1"/>
                <c:pt idx="0">
                  <c:v>Lisa</c:v>
                </c:pt>
              </c:strCache>
            </c:strRef>
          </c:tx>
          <c:marker>
            <c:symbol val="none"/>
          </c:marker>
          <c:cat>
            <c:numRef>
              <c:f>Hoja1!$C$3:$M$3</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Hoja1!$C$5:$M$5</c:f>
              <c:numCache>
                <c:formatCode>_(* #,##0.00_);_(* \(#,##0.00\);_(* "-"??_);_(@_)</c:formatCode>
                <c:ptCount val="11"/>
                <c:pt idx="0">
                  <c:v>24189</c:v>
                </c:pt>
                <c:pt idx="1">
                  <c:v>19472</c:v>
                </c:pt>
                <c:pt idx="2">
                  <c:v>19137</c:v>
                </c:pt>
                <c:pt idx="3">
                  <c:v>12121</c:v>
                </c:pt>
                <c:pt idx="4">
                  <c:v>6975</c:v>
                </c:pt>
                <c:pt idx="5">
                  <c:v>4233</c:v>
                </c:pt>
                <c:pt idx="6">
                  <c:v>10549</c:v>
                </c:pt>
                <c:pt idx="7">
                  <c:v>16185</c:v>
                </c:pt>
                <c:pt idx="8">
                  <c:v>18595</c:v>
                </c:pt>
                <c:pt idx="9">
                  <c:v>10779</c:v>
                </c:pt>
                <c:pt idx="10">
                  <c:v>10674</c:v>
                </c:pt>
              </c:numCache>
            </c:numRef>
          </c:val>
          <c:smooth val="0"/>
        </c:ser>
        <c:ser>
          <c:idx val="2"/>
          <c:order val="2"/>
          <c:tx>
            <c:strRef>
              <c:f>Hoja1!$B$6</c:f>
              <c:strCache>
                <c:ptCount val="1"/>
                <c:pt idx="0">
                  <c:v>Jurel</c:v>
                </c:pt>
              </c:strCache>
            </c:strRef>
          </c:tx>
          <c:marker>
            <c:symbol val="none"/>
          </c:marker>
          <c:cat>
            <c:numRef>
              <c:f>Hoja1!$C$3:$M$3</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Hoja1!$C$6:$M$6</c:f>
              <c:numCache>
                <c:formatCode>_(* #,##0.00_);_(* \(#,##0.00\);_(* "-"??_);_(@_)</c:formatCode>
                <c:ptCount val="11"/>
                <c:pt idx="0">
                  <c:v>723733</c:v>
                </c:pt>
                <c:pt idx="1">
                  <c:v>154219</c:v>
                </c:pt>
                <c:pt idx="2">
                  <c:v>217734</c:v>
                </c:pt>
                <c:pt idx="3">
                  <c:v>187319</c:v>
                </c:pt>
                <c:pt idx="4">
                  <c:v>80663</c:v>
                </c:pt>
                <c:pt idx="5">
                  <c:v>277568</c:v>
                </c:pt>
                <c:pt idx="6">
                  <c:v>254426</c:v>
                </c:pt>
                <c:pt idx="7">
                  <c:v>169537</c:v>
                </c:pt>
                <c:pt idx="8">
                  <c:v>74694</c:v>
                </c:pt>
                <c:pt idx="9">
                  <c:v>17559</c:v>
                </c:pt>
                <c:pt idx="10">
                  <c:v>263071</c:v>
                </c:pt>
              </c:numCache>
            </c:numRef>
          </c:val>
          <c:smooth val="0"/>
        </c:ser>
        <c:ser>
          <c:idx val="3"/>
          <c:order val="3"/>
          <c:tx>
            <c:strRef>
              <c:f>Hoja1!$B$7</c:f>
              <c:strCache>
                <c:ptCount val="1"/>
                <c:pt idx="0">
                  <c:v>Merluza</c:v>
                </c:pt>
              </c:strCache>
            </c:strRef>
          </c:tx>
          <c:marker>
            <c:symbol val="none"/>
          </c:marker>
          <c:cat>
            <c:numRef>
              <c:f>Hoja1!$C$3:$M$3</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Hoja1!$C$7:$M$7</c:f>
              <c:numCache>
                <c:formatCode>_(* #,##0.00_);_(* \(#,##0.00\);_(* "-"??_);_(@_)</c:formatCode>
                <c:ptCount val="11"/>
                <c:pt idx="0">
                  <c:v>125065</c:v>
                </c:pt>
                <c:pt idx="1">
                  <c:v>46251</c:v>
                </c:pt>
                <c:pt idx="2">
                  <c:v>7665</c:v>
                </c:pt>
                <c:pt idx="3">
                  <c:v>38651</c:v>
                </c:pt>
                <c:pt idx="4">
                  <c:v>30600</c:v>
                </c:pt>
                <c:pt idx="5">
                  <c:v>29441</c:v>
                </c:pt>
                <c:pt idx="6">
                  <c:v>31634</c:v>
                </c:pt>
                <c:pt idx="7">
                  <c:v>34929</c:v>
                </c:pt>
                <c:pt idx="8">
                  <c:v>47162</c:v>
                </c:pt>
                <c:pt idx="9">
                  <c:v>41108</c:v>
                </c:pt>
                <c:pt idx="10">
                  <c:v>31382</c:v>
                </c:pt>
              </c:numCache>
            </c:numRef>
          </c:val>
          <c:smooth val="0"/>
        </c:ser>
        <c:dLbls>
          <c:showLegendKey val="0"/>
          <c:showVal val="0"/>
          <c:showCatName val="0"/>
          <c:showSerName val="0"/>
          <c:showPercent val="0"/>
          <c:showBubbleSize val="0"/>
        </c:dLbls>
        <c:smooth val="0"/>
        <c:axId val="297635784"/>
        <c:axId val="297636176"/>
      </c:lineChart>
      <c:catAx>
        <c:axId val="297635784"/>
        <c:scaling>
          <c:orientation val="minMax"/>
        </c:scaling>
        <c:delete val="0"/>
        <c:axPos val="b"/>
        <c:numFmt formatCode="General" sourceLinked="1"/>
        <c:majorTickMark val="out"/>
        <c:minorTickMark val="none"/>
        <c:tickLblPos val="nextTo"/>
        <c:txPr>
          <a:bodyPr/>
          <a:lstStyle/>
          <a:p>
            <a:pPr>
              <a:defRPr lang="es-ES"/>
            </a:pPr>
            <a:endParaRPr lang="es-PE"/>
          </a:p>
        </c:txPr>
        <c:crossAx val="297636176"/>
        <c:crosses val="autoZero"/>
        <c:auto val="1"/>
        <c:lblAlgn val="ctr"/>
        <c:lblOffset val="100"/>
        <c:noMultiLvlLbl val="0"/>
      </c:catAx>
      <c:valAx>
        <c:axId val="297636176"/>
        <c:scaling>
          <c:orientation val="minMax"/>
        </c:scaling>
        <c:delete val="0"/>
        <c:axPos val="l"/>
        <c:majorGridlines/>
        <c:title>
          <c:tx>
            <c:rich>
              <a:bodyPr rot="-5400000" vert="horz"/>
              <a:lstStyle/>
              <a:p>
                <a:pPr>
                  <a:defRPr lang="es-ES"/>
                </a:pPr>
                <a:r>
                  <a:rPr lang="en-US"/>
                  <a:t>Toneladas</a:t>
                </a:r>
              </a:p>
            </c:rich>
          </c:tx>
          <c:layout>
            <c:manualLayout>
              <c:xMode val="edge"/>
              <c:yMode val="edge"/>
              <c:x val="2.9065472320547087E-2"/>
              <c:y val="0.34081582343643507"/>
            </c:manualLayout>
          </c:layout>
          <c:overlay val="0"/>
        </c:title>
        <c:numFmt formatCode="_(* #,##0.00_);_(* \(#,##0.00\);_(* &quot;-&quot;??_);_(@_)" sourceLinked="1"/>
        <c:majorTickMark val="out"/>
        <c:minorTickMark val="none"/>
        <c:tickLblPos val="nextTo"/>
        <c:txPr>
          <a:bodyPr/>
          <a:lstStyle/>
          <a:p>
            <a:pPr>
              <a:defRPr lang="es-ES"/>
            </a:pPr>
            <a:endParaRPr lang="es-PE"/>
          </a:p>
        </c:txPr>
        <c:crossAx val="297635784"/>
        <c:crosses val="autoZero"/>
        <c:crossBetween val="between"/>
        <c:dispUnits>
          <c:builtInUnit val="thousands"/>
          <c:dispUnitsLbl>
            <c:txPr>
              <a:bodyPr/>
              <a:lstStyle/>
              <a:p>
                <a:pPr>
                  <a:defRPr lang="es-ES"/>
                </a:pPr>
                <a:endParaRPr lang="es-PE"/>
              </a:p>
            </c:txPr>
          </c:dispUnitsLbl>
        </c:dispUnits>
      </c:valAx>
      <c:spPr>
        <a:solidFill>
          <a:schemeClr val="bg1">
            <a:lumMod val="95000"/>
          </a:schemeClr>
        </a:solidFill>
      </c:spPr>
    </c:plotArea>
    <c:legend>
      <c:legendPos val="b"/>
      <c:overlay val="0"/>
      <c:txPr>
        <a:bodyPr/>
        <a:lstStyle/>
        <a:p>
          <a:pPr>
            <a:defRPr lang="es-ES" sz="900"/>
          </a:pPr>
          <a:endParaRPr lang="es-PE"/>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barChart>
        <c:barDir val="col"/>
        <c:grouping val="clustered"/>
        <c:varyColors val="0"/>
        <c:ser>
          <c:idx val="0"/>
          <c:order val="0"/>
          <c:tx>
            <c:strRef>
              <c:f>Cosecha!$Y$6</c:f>
              <c:strCache>
                <c:ptCount val="1"/>
                <c:pt idx="0">
                  <c:v>Toneladas</c:v>
                </c:pt>
              </c:strCache>
            </c:strRef>
          </c:tx>
          <c:spPr>
            <a:solidFill>
              <a:schemeClr val="accent2">
                <a:lumMod val="50000"/>
              </a:schemeClr>
            </a:solidFill>
            <a:ln>
              <a:solidFill>
                <a:schemeClr val="accent2">
                  <a:lumMod val="50000"/>
                </a:schemeClr>
              </a:solidFill>
            </a:ln>
          </c:spPr>
          <c:invertIfNegative val="0"/>
          <c:cat>
            <c:strRef>
              <c:f>Cosecha!$Z$4:$AL$4</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Cosecha!$Z$6:$AL$6</c:f>
              <c:numCache>
                <c:formatCode>#,##0</c:formatCode>
                <c:ptCount val="13"/>
                <c:pt idx="0">
                  <c:v>6664</c:v>
                </c:pt>
                <c:pt idx="1">
                  <c:v>7539</c:v>
                </c:pt>
                <c:pt idx="2">
                  <c:v>11534</c:v>
                </c:pt>
                <c:pt idx="3">
                  <c:v>13609.5</c:v>
                </c:pt>
                <c:pt idx="4">
                  <c:v>22113.729999999996</c:v>
                </c:pt>
                <c:pt idx="5">
                  <c:v>25977.680000000004</c:v>
                </c:pt>
                <c:pt idx="6">
                  <c:v>28386.639999999781</c:v>
                </c:pt>
                <c:pt idx="7">
                  <c:v>39531.200000000004</c:v>
                </c:pt>
                <c:pt idx="8">
                  <c:v>43118.799999999996</c:v>
                </c:pt>
                <c:pt idx="9">
                  <c:v>44316.490000000005</c:v>
                </c:pt>
                <c:pt idx="10">
                  <c:v>89020.670000000027</c:v>
                </c:pt>
                <c:pt idx="11">
                  <c:v>92200.81</c:v>
                </c:pt>
                <c:pt idx="12">
                  <c:v>65282.820000000007</c:v>
                </c:pt>
              </c:numCache>
            </c:numRef>
          </c:val>
        </c:ser>
        <c:dLbls>
          <c:showLegendKey val="0"/>
          <c:showVal val="0"/>
          <c:showCatName val="0"/>
          <c:showSerName val="0"/>
          <c:showPercent val="0"/>
          <c:showBubbleSize val="0"/>
        </c:dLbls>
        <c:gapWidth val="150"/>
        <c:axId val="297636960"/>
        <c:axId val="297637352"/>
      </c:barChart>
      <c:catAx>
        <c:axId val="297636960"/>
        <c:scaling>
          <c:orientation val="minMax"/>
        </c:scaling>
        <c:delete val="0"/>
        <c:axPos val="b"/>
        <c:numFmt formatCode="General" sourceLinked="0"/>
        <c:majorTickMark val="out"/>
        <c:minorTickMark val="none"/>
        <c:tickLblPos val="nextTo"/>
        <c:txPr>
          <a:bodyPr/>
          <a:lstStyle/>
          <a:p>
            <a:pPr>
              <a:defRPr lang="es-ES"/>
            </a:pPr>
            <a:endParaRPr lang="es-PE"/>
          </a:p>
        </c:txPr>
        <c:crossAx val="297637352"/>
        <c:crosses val="autoZero"/>
        <c:auto val="1"/>
        <c:lblAlgn val="ctr"/>
        <c:lblOffset val="100"/>
        <c:noMultiLvlLbl val="0"/>
      </c:catAx>
      <c:valAx>
        <c:axId val="297637352"/>
        <c:scaling>
          <c:orientation val="minMax"/>
        </c:scaling>
        <c:delete val="0"/>
        <c:axPos val="l"/>
        <c:majorGridlines/>
        <c:numFmt formatCode="#,##0" sourceLinked="1"/>
        <c:majorTickMark val="out"/>
        <c:minorTickMark val="none"/>
        <c:tickLblPos val="nextTo"/>
        <c:txPr>
          <a:bodyPr/>
          <a:lstStyle/>
          <a:p>
            <a:pPr>
              <a:defRPr lang="es-ES" sz="800"/>
            </a:pPr>
            <a:endParaRPr lang="es-PE"/>
          </a:p>
        </c:txPr>
        <c:crossAx val="297636960"/>
        <c:crosses val="autoZero"/>
        <c:crossBetween val="between"/>
      </c:valAx>
      <c:dTable>
        <c:showHorzBorder val="1"/>
        <c:showVertBorder val="1"/>
        <c:showOutline val="1"/>
        <c:showKeys val="1"/>
        <c:txPr>
          <a:bodyPr/>
          <a:lstStyle/>
          <a:p>
            <a:pPr rtl="0">
              <a:defRPr lang="es-ES" sz="800"/>
            </a:pPr>
            <a:endParaRPr lang="es-PE"/>
          </a:p>
        </c:txPr>
      </c:dTable>
    </c:plotArea>
    <c:plotVisOnly val="1"/>
    <c:dispBlanksAs val="gap"/>
    <c:showDLblsOverMax val="0"/>
  </c:chart>
  <c:spPr>
    <a:noFill/>
    <a:ln>
      <a:noFill/>
    </a:ln>
  </c:spPr>
  <c:txPr>
    <a:bodyPr/>
    <a:lstStyle/>
    <a:p>
      <a:pPr>
        <a:defRPr sz="1000" b="1"/>
      </a:pPr>
      <a:endParaRPr lang="es-P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barChart>
        <c:barDir val="col"/>
        <c:grouping val="clustered"/>
        <c:varyColors val="0"/>
        <c:ser>
          <c:idx val="0"/>
          <c:order val="0"/>
          <c:tx>
            <c:strRef>
              <c:f>'Cosecha x especie y total'!$B$9</c:f>
              <c:strCache>
                <c:ptCount val="1"/>
                <c:pt idx="0">
                  <c:v>Continental</c:v>
                </c:pt>
              </c:strCache>
            </c:strRef>
          </c:tx>
          <c:spPr>
            <a:solidFill>
              <a:schemeClr val="tx2"/>
            </a:solidFill>
            <a:ln>
              <a:solidFill>
                <a:schemeClr val="tx2"/>
              </a:solidFill>
            </a:ln>
          </c:spPr>
          <c:invertIfNegative val="0"/>
          <c:dLbls>
            <c:dLbl>
              <c:idx val="0"/>
              <c:layout>
                <c:manualLayout>
                  <c:x val="0"/>
                  <c:y val="1.71183129143027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35616676793423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518344308560675E-3"/>
                  <c:y val="1.808222357245642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3116466480595191E-17"/>
                  <c:y val="2.260277946557080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35616676793423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35616676793424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356166767934230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9.0411117862282536E-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35616676793423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2.26027794655708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s-ES" sz="800" b="1"/>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'Cosecha x especie y total'!$E$5:$N$5</c:f>
              <c:numCache>
                <c:formatCode>0</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'Cosecha x especie y total'!$E$9:$N$9</c:f>
              <c:numCache>
                <c:formatCode>#,##0_);\(#,##0\)</c:formatCode>
                <c:ptCount val="10"/>
                <c:pt idx="0">
                  <c:v>3231</c:v>
                </c:pt>
                <c:pt idx="1">
                  <c:v>3601</c:v>
                </c:pt>
                <c:pt idx="2">
                  <c:v>6550</c:v>
                </c:pt>
                <c:pt idx="3">
                  <c:v>6586</c:v>
                </c:pt>
                <c:pt idx="4">
                  <c:v>6793</c:v>
                </c:pt>
                <c:pt idx="5">
                  <c:v>9348</c:v>
                </c:pt>
                <c:pt idx="6">
                  <c:v>14986</c:v>
                </c:pt>
                <c:pt idx="7">
                  <c:v>14837</c:v>
                </c:pt>
                <c:pt idx="8">
                  <c:v>17320.2</c:v>
                </c:pt>
                <c:pt idx="9">
                  <c:v>23608.740000000005</c:v>
                </c:pt>
              </c:numCache>
            </c:numRef>
          </c:val>
        </c:ser>
        <c:ser>
          <c:idx val="1"/>
          <c:order val="1"/>
          <c:tx>
            <c:strRef>
              <c:f>'Cosecha x especie y total'!$B$23</c:f>
              <c:strCache>
                <c:ptCount val="1"/>
                <c:pt idx="0">
                  <c:v>Marítimo</c:v>
                </c:pt>
              </c:strCache>
            </c:strRef>
          </c:tx>
          <c:spPr>
            <a:solidFill>
              <a:srgbClr val="FFC000"/>
            </a:solidFill>
            <a:ln>
              <a:solidFill>
                <a:srgbClr val="FFC000"/>
              </a:solidFill>
            </a:ln>
          </c:spPr>
          <c:invertIfNegative val="0"/>
          <c:dLbls>
            <c:dLbl>
              <c:idx val="0"/>
              <c:layout>
                <c:manualLayout>
                  <c:x val="5.0875757394477691E-3"/>
                  <c:y val="2.519561318583649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917171596318401E-3"/>
                  <c:y val="1.574725824114784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703668861712168E-3"/>
                  <c:y val="1.808222357245658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9.4483549446886857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958585798159316E-3"/>
                  <c:y val="1.889670988937745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3916415433959792E-3"/>
                  <c:y val="1.848942955211972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6959133636047213E-3"/>
                  <c:y val="1.35616676793423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25978065929182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98605461899367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s-ES" sz="800" b="1"/>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'Cosecha x especie y total'!$E$5:$N$5</c:f>
              <c:numCache>
                <c:formatCode>0</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'Cosecha x especie y total'!$E$23:$N$23</c:f>
              <c:numCache>
                <c:formatCode>#,##0_);\(#,##0\)</c:formatCode>
                <c:ptCount val="10"/>
                <c:pt idx="0">
                  <c:v>8303</c:v>
                </c:pt>
                <c:pt idx="1">
                  <c:v>10009</c:v>
                </c:pt>
                <c:pt idx="2">
                  <c:v>15564</c:v>
                </c:pt>
                <c:pt idx="3">
                  <c:v>19392</c:v>
                </c:pt>
                <c:pt idx="4">
                  <c:v>21594</c:v>
                </c:pt>
                <c:pt idx="5">
                  <c:v>30183</c:v>
                </c:pt>
                <c:pt idx="6">
                  <c:v>28133</c:v>
                </c:pt>
                <c:pt idx="7">
                  <c:v>29480</c:v>
                </c:pt>
                <c:pt idx="8">
                  <c:v>71700.47</c:v>
                </c:pt>
                <c:pt idx="9">
                  <c:v>68592.170000000027</c:v>
                </c:pt>
              </c:numCache>
            </c:numRef>
          </c:val>
        </c:ser>
        <c:dLbls>
          <c:showLegendKey val="0"/>
          <c:showVal val="0"/>
          <c:showCatName val="0"/>
          <c:showSerName val="0"/>
          <c:showPercent val="0"/>
          <c:showBubbleSize val="0"/>
        </c:dLbls>
        <c:gapWidth val="150"/>
        <c:axId val="298320728"/>
        <c:axId val="298321120"/>
      </c:barChart>
      <c:lineChart>
        <c:grouping val="standard"/>
        <c:varyColors val="0"/>
        <c:ser>
          <c:idx val="2"/>
          <c:order val="2"/>
          <c:tx>
            <c:strRef>
              <c:f>'Cosecha x especie y total'!$B$7</c:f>
              <c:strCache>
                <c:ptCount val="1"/>
                <c:pt idx="0">
                  <c:v>Cosecha Total</c:v>
                </c:pt>
              </c:strCache>
            </c:strRef>
          </c:tx>
          <c:spPr>
            <a:ln w="28575">
              <a:solidFill>
                <a:srgbClr val="FF0000"/>
              </a:solidFill>
            </a:ln>
          </c:spPr>
          <c:marker>
            <c:symbol val="none"/>
          </c:marker>
          <c:dLbls>
            <c:dLbl>
              <c:idx val="0"/>
              <c:layout>
                <c:manualLayout>
                  <c:x val="-5.0107962163243314E-2"/>
                  <c:y val="-4.84347308258133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0700605915582104E-2"/>
                  <c:y val="-4.56529436519941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324493892637934E-2"/>
                  <c:y val="-4.313357815525011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326123510196221E-2"/>
                  <c:y val="-4.913773065958487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885104554781076E-2"/>
                  <c:y val="-7.077481972058692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0525454436686375E-2"/>
                  <c:y val="-4.891386819856506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9388782305316256E-2"/>
                  <c:y val="-4.936126680925999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1147954459596592E-2"/>
                  <c:y val="-5.143324758515108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51469248375941E-2"/>
                  <c:y val="-3.13495211948220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5277516462841149E-2"/>
                  <c:y val="-2.71233353586847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s-ES" sz="800" b="1"/>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'Cosecha x especie y total'!$E$5:$N$5</c:f>
              <c:numCache>
                <c:formatCode>0</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'Cosecha x especie y total'!$E$7:$N$7</c:f>
              <c:numCache>
                <c:formatCode>#,##0_);\(#,##0\)</c:formatCode>
                <c:ptCount val="10"/>
                <c:pt idx="0">
                  <c:v>11534</c:v>
                </c:pt>
                <c:pt idx="1">
                  <c:v>13610</c:v>
                </c:pt>
                <c:pt idx="2">
                  <c:v>22114</c:v>
                </c:pt>
                <c:pt idx="3">
                  <c:v>25978</c:v>
                </c:pt>
                <c:pt idx="4">
                  <c:v>28387</c:v>
                </c:pt>
                <c:pt idx="5">
                  <c:v>39531</c:v>
                </c:pt>
                <c:pt idx="6">
                  <c:v>43119</c:v>
                </c:pt>
                <c:pt idx="7">
                  <c:v>44317</c:v>
                </c:pt>
                <c:pt idx="8">
                  <c:v>89020.670000000027</c:v>
                </c:pt>
                <c:pt idx="9">
                  <c:v>92200.909999999989</c:v>
                </c:pt>
              </c:numCache>
            </c:numRef>
          </c:val>
          <c:smooth val="0"/>
        </c:ser>
        <c:dLbls>
          <c:showLegendKey val="0"/>
          <c:showVal val="0"/>
          <c:showCatName val="0"/>
          <c:showSerName val="0"/>
          <c:showPercent val="0"/>
          <c:showBubbleSize val="0"/>
        </c:dLbls>
        <c:marker val="1"/>
        <c:smooth val="0"/>
        <c:axId val="298320728"/>
        <c:axId val="298321120"/>
      </c:lineChart>
      <c:catAx>
        <c:axId val="298320728"/>
        <c:scaling>
          <c:orientation val="minMax"/>
        </c:scaling>
        <c:delete val="0"/>
        <c:axPos val="b"/>
        <c:numFmt formatCode="0" sourceLinked="1"/>
        <c:majorTickMark val="out"/>
        <c:minorTickMark val="none"/>
        <c:tickLblPos val="nextTo"/>
        <c:txPr>
          <a:bodyPr/>
          <a:lstStyle/>
          <a:p>
            <a:pPr>
              <a:defRPr lang="es-ES" sz="800" b="1"/>
            </a:pPr>
            <a:endParaRPr lang="es-PE"/>
          </a:p>
        </c:txPr>
        <c:crossAx val="298321120"/>
        <c:crosses val="autoZero"/>
        <c:auto val="1"/>
        <c:lblAlgn val="ctr"/>
        <c:lblOffset val="100"/>
        <c:noMultiLvlLbl val="0"/>
      </c:catAx>
      <c:valAx>
        <c:axId val="298321120"/>
        <c:scaling>
          <c:orientation val="minMax"/>
        </c:scaling>
        <c:delete val="0"/>
        <c:axPos val="l"/>
        <c:majorGridlines/>
        <c:numFmt formatCode="#,##0_);\(#,##0\)" sourceLinked="1"/>
        <c:majorTickMark val="out"/>
        <c:minorTickMark val="none"/>
        <c:tickLblPos val="nextTo"/>
        <c:txPr>
          <a:bodyPr/>
          <a:lstStyle/>
          <a:p>
            <a:pPr>
              <a:defRPr lang="es-ES" sz="800" b="1"/>
            </a:pPr>
            <a:endParaRPr lang="es-PE"/>
          </a:p>
        </c:txPr>
        <c:crossAx val="298320728"/>
        <c:crosses val="autoZero"/>
        <c:crossBetween val="between"/>
      </c:valAx>
    </c:plotArea>
    <c:legend>
      <c:legendPos val="b"/>
      <c:overlay val="0"/>
      <c:txPr>
        <a:bodyPr/>
        <a:lstStyle/>
        <a:p>
          <a:pPr>
            <a:defRPr lang="es-ES" sz="1000" b="1"/>
          </a:pPr>
          <a:endParaRPr lang="es-PE"/>
        </a:p>
      </c:txPr>
    </c:legend>
    <c:plotVisOnly val="1"/>
    <c:dispBlanksAs val="zero"/>
    <c:showDLblsOverMax val="0"/>
  </c:chart>
  <c:spPr>
    <a:noFill/>
    <a:ln>
      <a:noFill/>
    </a:ln>
  </c:spPr>
  <c:txPr>
    <a:bodyPr/>
    <a:lstStyle/>
    <a:p>
      <a:pPr>
        <a:defRPr sz="1200"/>
      </a:pPr>
      <a:endParaRPr lang="es-P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859083027204197E-2"/>
          <c:y val="1.6074837510566715E-2"/>
          <c:w val="0.53520588471838282"/>
          <c:h val="0.90156695236442419"/>
        </c:manualLayout>
      </c:layout>
      <c:pieChart>
        <c:varyColors val="1"/>
        <c:ser>
          <c:idx val="0"/>
          <c:order val="0"/>
          <c:spPr>
            <a:ln>
              <a:solidFill>
                <a:srgbClr val="002060"/>
              </a:solidFill>
            </a:ln>
          </c:spPr>
          <c:dPt>
            <c:idx val="0"/>
            <c:bubble3D val="0"/>
            <c:explosion val="12"/>
            <c:spPr>
              <a:solidFill>
                <a:srgbClr val="002060"/>
              </a:solidFill>
              <a:ln>
                <a:solidFill>
                  <a:srgbClr val="002060"/>
                </a:solidFill>
              </a:ln>
            </c:spPr>
          </c:dPt>
          <c:dPt>
            <c:idx val="1"/>
            <c:bubble3D val="0"/>
            <c:explosion val="11"/>
            <c:spPr>
              <a:solidFill>
                <a:srgbClr val="C00000"/>
              </a:solidFill>
              <a:ln>
                <a:solidFill>
                  <a:srgbClr val="C00000"/>
                </a:solidFill>
              </a:ln>
            </c:spPr>
          </c:dPt>
          <c:dPt>
            <c:idx val="2"/>
            <c:bubble3D val="0"/>
            <c:spPr>
              <a:solidFill>
                <a:srgbClr val="6BB76D">
                  <a:lumMod val="50000"/>
                </a:srgbClr>
              </a:solidFill>
              <a:ln>
                <a:solidFill>
                  <a:srgbClr val="006600"/>
                </a:solidFill>
              </a:ln>
            </c:spPr>
          </c:dPt>
          <c:dPt>
            <c:idx val="3"/>
            <c:bubble3D val="0"/>
            <c:spPr>
              <a:solidFill>
                <a:srgbClr val="F0AD00">
                  <a:lumMod val="40000"/>
                  <a:lumOff val="60000"/>
                </a:srgbClr>
              </a:solidFill>
              <a:ln>
                <a:solidFill>
                  <a:srgbClr val="7030A0"/>
                </a:solidFill>
              </a:ln>
            </c:spPr>
          </c:dPt>
          <c:dLbls>
            <c:dLbl>
              <c:idx val="0"/>
              <c:spPr/>
              <c:txPr>
                <a:bodyPr/>
                <a:lstStyle/>
                <a:p>
                  <a:pPr>
                    <a:defRPr lang="es-ES" sz="800">
                      <a:solidFill>
                        <a:schemeClr val="bg1"/>
                      </a:solidFill>
                    </a:defRPr>
                  </a:pPr>
                  <a:endParaRPr lang="es-PE"/>
                </a:p>
              </c:txPr>
              <c:dLblPos val="ctr"/>
              <c:showLegendKey val="0"/>
              <c:showVal val="1"/>
              <c:showCatName val="0"/>
              <c:showSerName val="0"/>
              <c:showPercent val="1"/>
              <c:showBubbleSize val="0"/>
            </c:dLbl>
            <c:dLbl>
              <c:idx val="1"/>
              <c:spPr/>
              <c:txPr>
                <a:bodyPr/>
                <a:lstStyle/>
                <a:p>
                  <a:pPr>
                    <a:defRPr lang="es-ES" sz="800">
                      <a:solidFill>
                        <a:schemeClr val="bg1"/>
                      </a:solidFill>
                    </a:defRPr>
                  </a:pPr>
                  <a:endParaRPr lang="es-PE"/>
                </a:p>
              </c:txPr>
              <c:dLblPos val="ctr"/>
              <c:showLegendKey val="0"/>
              <c:showVal val="1"/>
              <c:showCatName val="0"/>
              <c:showSerName val="0"/>
              <c:showPercent val="1"/>
              <c:showBubbleSize val="0"/>
            </c:dLbl>
            <c:dLbl>
              <c:idx val="2"/>
              <c:layout>
                <c:manualLayout>
                  <c:x val="0.13211104381183211"/>
                  <c:y val="-5.4918887941154584E-2"/>
                </c:manualLayout>
              </c:layout>
              <c:spPr/>
              <c:txPr>
                <a:bodyPr/>
                <a:lstStyle/>
                <a:p>
                  <a:pPr>
                    <a:defRPr lang="es-ES" sz="800">
                      <a:solidFill>
                        <a:schemeClr val="bg1"/>
                      </a:solidFill>
                    </a:defRPr>
                  </a:pPr>
                  <a:endParaRPr lang="es-PE"/>
                </a:p>
              </c:txPr>
              <c:dLblPos val="bestFit"/>
              <c:showLegendKey val="0"/>
              <c:showVal val="1"/>
              <c:showCatName val="0"/>
              <c:showSerName val="0"/>
              <c:showPercent val="1"/>
              <c:showBubbleSize val="0"/>
              <c:extLst>
                <c:ext xmlns:c15="http://schemas.microsoft.com/office/drawing/2012/chart" uri="{CE6537A1-D6FC-4f65-9D91-7224C49458BB}"/>
              </c:extLst>
            </c:dLbl>
            <c:dLbl>
              <c:idx val="3"/>
              <c:layout>
                <c:manualLayout>
                  <c:x val="0.13683818021451538"/>
                  <c:y val="0.15519938195233754"/>
                </c:manualLayout>
              </c:layout>
              <c:spPr/>
              <c:txPr>
                <a:bodyPr/>
                <a:lstStyle/>
                <a:p>
                  <a:pPr>
                    <a:defRPr lang="es-ES" sz="800">
                      <a:solidFill>
                        <a:schemeClr val="tx1"/>
                      </a:solidFill>
                    </a:defRPr>
                  </a:pPr>
                  <a:endParaRPr lang="es-PE"/>
                </a:p>
              </c:txPr>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es-ES" sz="800"/>
                </a:pPr>
                <a:endParaRPr lang="es-PE"/>
              </a:p>
            </c:txPr>
            <c:dLblPos val="ctr"/>
            <c:showLegendKey val="0"/>
            <c:showVal val="1"/>
            <c:showCatName val="0"/>
            <c:showSerName val="0"/>
            <c:showPercent val="1"/>
            <c:showBubbleSize val="0"/>
            <c:showLeaderLines val="1"/>
            <c:extLst>
              <c:ext xmlns:c15="http://schemas.microsoft.com/office/drawing/2012/chart" uri="{CE6537A1-D6FC-4f65-9D91-7224C49458BB}"/>
            </c:extLst>
          </c:dLbls>
          <c:cat>
            <c:strRef>
              <c:f>Hoja1!$B$12:$B$15</c:f>
              <c:strCache>
                <c:ptCount val="4"/>
                <c:pt idx="0">
                  <c:v>Educación</c:v>
                </c:pt>
                <c:pt idx="1">
                  <c:v>Infraestructura</c:v>
                </c:pt>
                <c:pt idx="2">
                  <c:v>Salud</c:v>
                </c:pt>
                <c:pt idx="3">
                  <c:v>Generación de ingresos</c:v>
                </c:pt>
              </c:strCache>
            </c:strRef>
          </c:cat>
          <c:val>
            <c:numRef>
              <c:f>Hoja1!$C$12:$C$15</c:f>
              <c:numCache>
                <c:formatCode>_(* #,##0.00_);_(* \(#,##0.00\);_(* "-"??_);_(@_)</c:formatCode>
                <c:ptCount val="4"/>
                <c:pt idx="0">
                  <c:v>256264.06</c:v>
                </c:pt>
                <c:pt idx="1">
                  <c:v>245715.41</c:v>
                </c:pt>
                <c:pt idx="2">
                  <c:v>179747.41999999998</c:v>
                </c:pt>
                <c:pt idx="3">
                  <c:v>140854.75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3957595411653323"/>
          <c:y val="0.13975210914363451"/>
          <c:w val="0.35828480691681847"/>
          <c:h val="0.492982583819918"/>
        </c:manualLayout>
      </c:layout>
      <c:overlay val="0"/>
      <c:txPr>
        <a:bodyPr/>
        <a:lstStyle/>
        <a:p>
          <a:pPr>
            <a:defRPr lang="es-ES" sz="800"/>
          </a:pPr>
          <a:endParaRPr lang="es-PE"/>
        </a:p>
      </c:txPr>
    </c:legend>
    <c:plotVisOnly val="1"/>
    <c:dispBlanksAs val="gap"/>
    <c:showDLblsOverMax val="0"/>
  </c:chart>
  <c:spPr>
    <a:noFill/>
    <a:ln>
      <a:noFill/>
    </a:ln>
  </c:spPr>
  <c:txPr>
    <a:bodyPr/>
    <a:lstStyle/>
    <a:p>
      <a:pPr>
        <a:defRPr b="1"/>
      </a:pPr>
      <a:endParaRPr lang="es-PE"/>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2941DF-9780-48D7-87CE-D42DB36B3183}" type="doc">
      <dgm:prSet loTypeId="urn:microsoft.com/office/officeart/2005/8/layout/target3" loCatId="relationship" qsTypeId="urn:microsoft.com/office/officeart/2005/8/quickstyle/simple1" qsCatId="simple" csTypeId="urn:microsoft.com/office/officeart/2005/8/colors/colorful2" csCatId="colorful" phldr="1"/>
      <dgm:spPr/>
      <dgm:t>
        <a:bodyPr/>
        <a:lstStyle/>
        <a:p>
          <a:endParaRPr lang="es-PE"/>
        </a:p>
      </dgm:t>
    </dgm:pt>
    <dgm:pt modelId="{4216B197-5F16-4C30-9BA6-8D9C25B845A5}">
      <dgm:prSet phldrT="[Texto]" custT="1"/>
      <dgm:spPr/>
      <dgm:t>
        <a:bodyPr/>
        <a:lstStyle/>
        <a:p>
          <a:pPr marL="0" marR="0" indent="0" algn="l" defTabSz="914400" eaLnBrk="1" fontAlgn="auto" latinLnBrk="0" hangingPunct="1">
            <a:lnSpc>
              <a:spcPct val="100000"/>
            </a:lnSpc>
            <a:spcBef>
              <a:spcPts val="0"/>
            </a:spcBef>
            <a:spcAft>
              <a:spcPts val="0"/>
            </a:spcAft>
            <a:buClrTx/>
            <a:buSzTx/>
            <a:buFontTx/>
            <a:buNone/>
            <a:tabLst/>
            <a:defRPr/>
          </a:pPr>
          <a:r>
            <a:rPr lang="es-PE" sz="1000" b="1" dirty="0" smtClean="0">
              <a:latin typeface="+mj-lt"/>
            </a:rPr>
            <a:t>Elementos comunes</a:t>
          </a:r>
        </a:p>
        <a:p>
          <a:pPr algn="l" defTabSz="711200">
            <a:lnSpc>
              <a:spcPct val="90000"/>
            </a:lnSpc>
            <a:spcBef>
              <a:spcPct val="0"/>
            </a:spcBef>
            <a:spcAft>
              <a:spcPct val="35000"/>
            </a:spcAft>
          </a:pPr>
          <a:r>
            <a:rPr lang="es-PE" sz="1000" b="1" dirty="0" smtClean="0">
              <a:latin typeface="+mj-lt"/>
            </a:rPr>
            <a:t>de éxito</a:t>
          </a:r>
          <a:endParaRPr lang="es-PE" sz="1000" b="1" dirty="0">
            <a:latin typeface="+mj-lt"/>
          </a:endParaRPr>
        </a:p>
      </dgm:t>
    </dgm:pt>
    <dgm:pt modelId="{DE6F9768-8834-4F9C-931E-7677185E86CF}" type="parTrans" cxnId="{379A06CF-5326-445A-ACDC-16AD2D1710C3}">
      <dgm:prSet/>
      <dgm:spPr/>
      <dgm:t>
        <a:bodyPr/>
        <a:lstStyle/>
        <a:p>
          <a:endParaRPr lang="es-PE" sz="1050">
            <a:latin typeface="+mj-lt"/>
          </a:endParaRPr>
        </a:p>
      </dgm:t>
    </dgm:pt>
    <dgm:pt modelId="{8F3734DE-EC11-4A27-9A37-83B2939629FE}" type="sibTrans" cxnId="{379A06CF-5326-445A-ACDC-16AD2D1710C3}">
      <dgm:prSet/>
      <dgm:spPr/>
      <dgm:t>
        <a:bodyPr/>
        <a:lstStyle/>
        <a:p>
          <a:endParaRPr lang="es-PE" sz="1050">
            <a:latin typeface="+mj-lt"/>
          </a:endParaRPr>
        </a:p>
      </dgm:t>
    </dgm:pt>
    <dgm:pt modelId="{05A796EE-9664-4042-8579-5B37D53A1471}">
      <dgm:prSet phldrT="[Texto]" custT="1"/>
      <dgm:spPr/>
      <dgm:t>
        <a:bodyPr/>
        <a:lstStyle/>
        <a:p>
          <a:r>
            <a:rPr lang="es-PE" sz="900" dirty="0" smtClean="0">
              <a:latin typeface="+mj-lt"/>
            </a:rPr>
            <a:t>Fuerte apuesta hacia el desarrollo e innovación tecnológica. </a:t>
          </a:r>
        </a:p>
      </dgm:t>
    </dgm:pt>
    <dgm:pt modelId="{4E895DDF-B584-46EF-ABE4-854C2B44C07A}" type="parTrans" cxnId="{3C057322-C0B0-4A44-B713-BF4AC04089D2}">
      <dgm:prSet/>
      <dgm:spPr/>
      <dgm:t>
        <a:bodyPr/>
        <a:lstStyle/>
        <a:p>
          <a:endParaRPr lang="es-PE" sz="1050">
            <a:latin typeface="+mj-lt"/>
          </a:endParaRPr>
        </a:p>
      </dgm:t>
    </dgm:pt>
    <dgm:pt modelId="{549D48C2-EA33-4BBD-AC4C-42C786E6914F}" type="sibTrans" cxnId="{3C057322-C0B0-4A44-B713-BF4AC04089D2}">
      <dgm:prSet/>
      <dgm:spPr/>
      <dgm:t>
        <a:bodyPr/>
        <a:lstStyle/>
        <a:p>
          <a:endParaRPr lang="es-PE" sz="1050">
            <a:latin typeface="+mj-lt"/>
          </a:endParaRPr>
        </a:p>
      </dgm:t>
    </dgm:pt>
    <dgm:pt modelId="{2DE9DF3C-1034-4E72-A774-14E0EAAC8640}">
      <dgm:prSet phldrT="[Texto]" custT="1"/>
      <dgm:spPr/>
      <dgm:t>
        <a:bodyPr/>
        <a:lstStyle/>
        <a:p>
          <a:r>
            <a:rPr lang="es-PE" sz="900" dirty="0" smtClean="0">
              <a:latin typeface="+mj-lt"/>
            </a:rPr>
            <a:t>Aplicación de planes y estrategias de desarrollo acuícola</a:t>
          </a:r>
        </a:p>
      </dgm:t>
    </dgm:pt>
    <dgm:pt modelId="{B2AD7C0C-D092-4A41-924C-0BD08DF991DB}" type="parTrans" cxnId="{62692C8D-D29F-4DDD-A413-FE4CA0F2B616}">
      <dgm:prSet/>
      <dgm:spPr/>
      <dgm:t>
        <a:bodyPr/>
        <a:lstStyle/>
        <a:p>
          <a:endParaRPr lang="es-PE" sz="1050">
            <a:latin typeface="+mj-lt"/>
          </a:endParaRPr>
        </a:p>
      </dgm:t>
    </dgm:pt>
    <dgm:pt modelId="{7D3C702E-FED7-4AD2-AA4D-0E61C9C13A4F}" type="sibTrans" cxnId="{62692C8D-D29F-4DDD-A413-FE4CA0F2B616}">
      <dgm:prSet/>
      <dgm:spPr/>
      <dgm:t>
        <a:bodyPr/>
        <a:lstStyle/>
        <a:p>
          <a:endParaRPr lang="es-PE" sz="1050">
            <a:latin typeface="+mj-lt"/>
          </a:endParaRPr>
        </a:p>
      </dgm:t>
    </dgm:pt>
    <dgm:pt modelId="{A7A57414-8486-4EA8-B1BC-2FC89093B380}">
      <dgm:prSet phldrT="[Texto]" custT="1"/>
      <dgm:spPr/>
      <dgm:t>
        <a:bodyPr/>
        <a:lstStyle/>
        <a:p>
          <a:pPr algn="l"/>
          <a:r>
            <a:rPr lang="es-PE" sz="1000" b="1" dirty="0" smtClean="0">
              <a:latin typeface="+mj-lt"/>
            </a:rPr>
            <a:t>Elementos diferenciados</a:t>
          </a:r>
        </a:p>
        <a:p>
          <a:pPr algn="l"/>
          <a:r>
            <a:rPr lang="es-PE" sz="1000" b="1" dirty="0" smtClean="0">
              <a:latin typeface="+mj-lt"/>
            </a:rPr>
            <a:t> caso Brasil</a:t>
          </a:r>
        </a:p>
      </dgm:t>
    </dgm:pt>
    <dgm:pt modelId="{0DF9EFBF-9307-4360-8625-B7B41E401EB5}" type="parTrans" cxnId="{26641011-5292-4026-8BCC-D1E6EC0A6D56}">
      <dgm:prSet/>
      <dgm:spPr/>
      <dgm:t>
        <a:bodyPr/>
        <a:lstStyle/>
        <a:p>
          <a:endParaRPr lang="es-PE" sz="1050">
            <a:latin typeface="+mj-lt"/>
          </a:endParaRPr>
        </a:p>
      </dgm:t>
    </dgm:pt>
    <dgm:pt modelId="{3508CFEB-8572-4F58-AD77-034EFF9E2DF1}" type="sibTrans" cxnId="{26641011-5292-4026-8BCC-D1E6EC0A6D56}">
      <dgm:prSet/>
      <dgm:spPr/>
      <dgm:t>
        <a:bodyPr/>
        <a:lstStyle/>
        <a:p>
          <a:endParaRPr lang="es-PE" sz="1050">
            <a:latin typeface="+mj-lt"/>
          </a:endParaRPr>
        </a:p>
      </dgm:t>
    </dgm:pt>
    <dgm:pt modelId="{4A71975B-E00D-43CC-965F-699475055570}">
      <dgm:prSet phldrT="[Texto]" custT="1"/>
      <dgm:spPr/>
      <dgm:t>
        <a:bodyPr/>
        <a:lstStyle/>
        <a:p>
          <a:r>
            <a:rPr lang="es-PE" sz="900" dirty="0" smtClean="0">
              <a:latin typeface="+mj-lt"/>
            </a:rPr>
            <a:t>Principalmente orientado al consumo interno</a:t>
          </a:r>
        </a:p>
      </dgm:t>
    </dgm:pt>
    <dgm:pt modelId="{786286C9-3F2C-4EF4-AAEB-E6AB92BD89E4}" type="parTrans" cxnId="{E53C0C09-14EE-47B9-8736-56E7BB69FD0D}">
      <dgm:prSet/>
      <dgm:spPr/>
      <dgm:t>
        <a:bodyPr/>
        <a:lstStyle/>
        <a:p>
          <a:endParaRPr lang="es-PE" sz="1050">
            <a:latin typeface="+mj-lt"/>
          </a:endParaRPr>
        </a:p>
      </dgm:t>
    </dgm:pt>
    <dgm:pt modelId="{938187DD-5D1D-45E5-9310-9FC207A75038}" type="sibTrans" cxnId="{E53C0C09-14EE-47B9-8736-56E7BB69FD0D}">
      <dgm:prSet/>
      <dgm:spPr/>
      <dgm:t>
        <a:bodyPr/>
        <a:lstStyle/>
        <a:p>
          <a:endParaRPr lang="es-PE" sz="1050">
            <a:latin typeface="+mj-lt"/>
          </a:endParaRPr>
        </a:p>
      </dgm:t>
    </dgm:pt>
    <dgm:pt modelId="{13C45192-016B-454D-9858-0D1B60D9E961}">
      <dgm:prSet phldrT="[Texto]" custT="1"/>
      <dgm:spPr/>
      <dgm:t>
        <a:bodyPr/>
        <a:lstStyle/>
        <a:p>
          <a:r>
            <a:rPr lang="es-PE" sz="900" dirty="0" smtClean="0">
              <a:latin typeface="+mj-lt"/>
            </a:rPr>
            <a:t>Condiciones ambientales favorables en el ámbito continental</a:t>
          </a:r>
        </a:p>
      </dgm:t>
    </dgm:pt>
    <dgm:pt modelId="{4EB17B93-0784-4AC4-A3B1-DD8BAF63616F}" type="parTrans" cxnId="{EB7F89A9-4517-43CF-A18D-868133F0F7AD}">
      <dgm:prSet/>
      <dgm:spPr/>
      <dgm:t>
        <a:bodyPr/>
        <a:lstStyle/>
        <a:p>
          <a:endParaRPr lang="es-PE" sz="1050">
            <a:latin typeface="+mj-lt"/>
          </a:endParaRPr>
        </a:p>
      </dgm:t>
    </dgm:pt>
    <dgm:pt modelId="{8E8B67E0-43D0-49A3-894F-740ED93ED36E}" type="sibTrans" cxnId="{EB7F89A9-4517-43CF-A18D-868133F0F7AD}">
      <dgm:prSet/>
      <dgm:spPr/>
      <dgm:t>
        <a:bodyPr/>
        <a:lstStyle/>
        <a:p>
          <a:endParaRPr lang="es-PE" sz="1050">
            <a:latin typeface="+mj-lt"/>
          </a:endParaRPr>
        </a:p>
      </dgm:t>
    </dgm:pt>
    <dgm:pt modelId="{0708C45A-6D4B-4AD4-A779-A6F0208B480E}">
      <dgm:prSet phldrT="[Texto]" custT="1"/>
      <dgm:spPr/>
      <dgm:t>
        <a:bodyPr/>
        <a:lstStyle/>
        <a:p>
          <a:pPr algn="l"/>
          <a:r>
            <a:rPr lang="es-PE" sz="1000" b="1" dirty="0" smtClean="0">
              <a:latin typeface="+mj-lt"/>
            </a:rPr>
            <a:t>Elementos diferenciados </a:t>
          </a:r>
        </a:p>
        <a:p>
          <a:pPr algn="l"/>
          <a:r>
            <a:rPr lang="es-PE" sz="1000" b="1" dirty="0" smtClean="0">
              <a:latin typeface="+mj-lt"/>
            </a:rPr>
            <a:t>caso Chile</a:t>
          </a:r>
        </a:p>
      </dgm:t>
    </dgm:pt>
    <dgm:pt modelId="{0668DF82-8881-4673-9595-0AC595BEE4BE}" type="parTrans" cxnId="{34CE8DF4-46B0-4632-A3F4-8BFE6EC11751}">
      <dgm:prSet/>
      <dgm:spPr/>
      <dgm:t>
        <a:bodyPr/>
        <a:lstStyle/>
        <a:p>
          <a:endParaRPr lang="es-PE" sz="1050">
            <a:latin typeface="+mj-lt"/>
          </a:endParaRPr>
        </a:p>
      </dgm:t>
    </dgm:pt>
    <dgm:pt modelId="{C0E68E58-044F-4456-9056-E0F087DC42FF}" type="sibTrans" cxnId="{34CE8DF4-46B0-4632-A3F4-8BFE6EC11751}">
      <dgm:prSet/>
      <dgm:spPr/>
      <dgm:t>
        <a:bodyPr/>
        <a:lstStyle/>
        <a:p>
          <a:endParaRPr lang="es-PE" sz="1050">
            <a:latin typeface="+mj-lt"/>
          </a:endParaRPr>
        </a:p>
      </dgm:t>
    </dgm:pt>
    <dgm:pt modelId="{179741AD-4EBD-4A35-8225-81AD3B1DE50B}">
      <dgm:prSet phldrT="[Texto]" custT="1"/>
      <dgm:spPr/>
      <dgm:t>
        <a:bodyPr/>
        <a:lstStyle/>
        <a:p>
          <a:r>
            <a:rPr lang="es-PE" sz="900" dirty="0" smtClean="0">
              <a:latin typeface="+mj-lt"/>
            </a:rPr>
            <a:t>Principalmente orientado a la exportación </a:t>
          </a:r>
          <a:endParaRPr lang="es-PE" sz="900" dirty="0">
            <a:latin typeface="+mj-lt"/>
          </a:endParaRPr>
        </a:p>
      </dgm:t>
    </dgm:pt>
    <dgm:pt modelId="{6AE9D6EB-0E60-446A-8BEE-A73A3E3718DB}" type="parTrans" cxnId="{F757219F-B618-4220-A2EC-B4662AD9B830}">
      <dgm:prSet/>
      <dgm:spPr/>
      <dgm:t>
        <a:bodyPr/>
        <a:lstStyle/>
        <a:p>
          <a:endParaRPr lang="es-PE" sz="1050">
            <a:latin typeface="+mj-lt"/>
          </a:endParaRPr>
        </a:p>
      </dgm:t>
    </dgm:pt>
    <dgm:pt modelId="{9A3E29F4-FCA0-4BCD-9599-7DDD41A58EC0}" type="sibTrans" cxnId="{F757219F-B618-4220-A2EC-B4662AD9B830}">
      <dgm:prSet/>
      <dgm:spPr/>
      <dgm:t>
        <a:bodyPr/>
        <a:lstStyle/>
        <a:p>
          <a:endParaRPr lang="es-PE" sz="1050">
            <a:latin typeface="+mj-lt"/>
          </a:endParaRPr>
        </a:p>
      </dgm:t>
    </dgm:pt>
    <dgm:pt modelId="{A069476A-3B60-4215-990C-F93C93AC3A58}">
      <dgm:prSet phldrT="[Texto]" custT="1"/>
      <dgm:spPr/>
      <dgm:t>
        <a:bodyPr/>
        <a:lstStyle/>
        <a:p>
          <a:r>
            <a:rPr lang="es-PE" sz="900" dirty="0" smtClean="0">
              <a:latin typeface="+mj-lt"/>
            </a:rPr>
            <a:t>Buenas condiciones ambientales en la zona marina costera de las regiones del sur</a:t>
          </a:r>
          <a:endParaRPr lang="es-PE" sz="900" dirty="0">
            <a:latin typeface="+mj-lt"/>
          </a:endParaRPr>
        </a:p>
      </dgm:t>
    </dgm:pt>
    <dgm:pt modelId="{CD7B6DEE-C686-4DB6-B71C-2567EF48F8E3}" type="parTrans" cxnId="{268CEEE2-58DF-4E39-A427-976794DD6ED4}">
      <dgm:prSet/>
      <dgm:spPr/>
      <dgm:t>
        <a:bodyPr/>
        <a:lstStyle/>
        <a:p>
          <a:endParaRPr lang="es-PE" sz="1050">
            <a:latin typeface="+mj-lt"/>
          </a:endParaRPr>
        </a:p>
      </dgm:t>
    </dgm:pt>
    <dgm:pt modelId="{15EF6E81-97FD-4F22-8705-1BF02C5BD11E}" type="sibTrans" cxnId="{268CEEE2-58DF-4E39-A427-976794DD6ED4}">
      <dgm:prSet/>
      <dgm:spPr/>
      <dgm:t>
        <a:bodyPr/>
        <a:lstStyle/>
        <a:p>
          <a:endParaRPr lang="es-PE" sz="1050">
            <a:latin typeface="+mj-lt"/>
          </a:endParaRPr>
        </a:p>
      </dgm:t>
    </dgm:pt>
    <dgm:pt modelId="{CEF8700F-2BC8-4176-A3B1-925123C1213D}">
      <dgm:prSet phldrT="[Texto]" custT="1"/>
      <dgm:spPr/>
      <dgm:t>
        <a:bodyPr/>
        <a:lstStyle/>
        <a:p>
          <a:r>
            <a:rPr lang="es-PE" sz="900" dirty="0" smtClean="0">
              <a:latin typeface="+mj-lt"/>
            </a:rPr>
            <a:t>Diversificación hacia especies amazónicas con demanda</a:t>
          </a:r>
        </a:p>
      </dgm:t>
    </dgm:pt>
    <dgm:pt modelId="{53A27251-3C67-4FB2-A56D-0BE5FAC3A0C8}" type="parTrans" cxnId="{7046A8AF-4F2D-44A4-B70B-EA2CE1FBD952}">
      <dgm:prSet/>
      <dgm:spPr/>
      <dgm:t>
        <a:bodyPr/>
        <a:lstStyle/>
        <a:p>
          <a:endParaRPr lang="es-PE" sz="1050">
            <a:latin typeface="+mj-lt"/>
          </a:endParaRPr>
        </a:p>
      </dgm:t>
    </dgm:pt>
    <dgm:pt modelId="{9DD81505-4CFD-4E23-9F3A-448B51CDC54E}" type="sibTrans" cxnId="{7046A8AF-4F2D-44A4-B70B-EA2CE1FBD952}">
      <dgm:prSet/>
      <dgm:spPr/>
      <dgm:t>
        <a:bodyPr/>
        <a:lstStyle/>
        <a:p>
          <a:endParaRPr lang="es-PE" sz="1050">
            <a:latin typeface="+mj-lt"/>
          </a:endParaRPr>
        </a:p>
      </dgm:t>
    </dgm:pt>
    <dgm:pt modelId="{ED9CD230-B3FA-40EC-8BC2-322EF459F5A9}">
      <dgm:prSet phldrT="[Texto]" custT="1"/>
      <dgm:spPr/>
      <dgm:t>
        <a:bodyPr/>
        <a:lstStyle/>
        <a:p>
          <a:r>
            <a:rPr lang="es-PE" sz="900" dirty="0" smtClean="0">
              <a:latin typeface="+mj-lt"/>
            </a:rPr>
            <a:t>Gran apertura  al cultivo de especies introducidas de alto valor </a:t>
          </a:r>
          <a:endParaRPr lang="es-PE" sz="900" dirty="0">
            <a:latin typeface="+mj-lt"/>
          </a:endParaRPr>
        </a:p>
      </dgm:t>
    </dgm:pt>
    <dgm:pt modelId="{F11A53F5-57C4-4EBB-9FE5-DE65D55BDCEE}" type="parTrans" cxnId="{812DC468-EBA1-4C11-A0FA-8A78CCF43296}">
      <dgm:prSet/>
      <dgm:spPr/>
      <dgm:t>
        <a:bodyPr/>
        <a:lstStyle/>
        <a:p>
          <a:endParaRPr lang="es-PE" sz="1050">
            <a:latin typeface="+mj-lt"/>
          </a:endParaRPr>
        </a:p>
      </dgm:t>
    </dgm:pt>
    <dgm:pt modelId="{E96BE199-4A3D-4071-8ECB-E5CF08462757}" type="sibTrans" cxnId="{812DC468-EBA1-4C11-A0FA-8A78CCF43296}">
      <dgm:prSet/>
      <dgm:spPr/>
      <dgm:t>
        <a:bodyPr/>
        <a:lstStyle/>
        <a:p>
          <a:endParaRPr lang="es-PE" sz="1050">
            <a:latin typeface="+mj-lt"/>
          </a:endParaRPr>
        </a:p>
      </dgm:t>
    </dgm:pt>
    <dgm:pt modelId="{C875B4CD-E852-4818-81F3-CE86D90A5934}">
      <dgm:prSet phldrT="[Texto]" custT="1"/>
      <dgm:spPr/>
      <dgm:t>
        <a:bodyPr/>
        <a:lstStyle/>
        <a:p>
          <a:r>
            <a:rPr lang="es-PE" sz="900" dirty="0" smtClean="0">
              <a:latin typeface="+mj-lt"/>
            </a:rPr>
            <a:t>Activa participación del sector privado  en los negocios acuícolas</a:t>
          </a:r>
        </a:p>
      </dgm:t>
    </dgm:pt>
    <dgm:pt modelId="{2BD89AD8-A6CD-43C4-A7EE-227C4BB90C5A}" type="parTrans" cxnId="{85AC29B9-C5CC-48B5-B273-E345787312E5}">
      <dgm:prSet/>
      <dgm:spPr/>
      <dgm:t>
        <a:bodyPr/>
        <a:lstStyle/>
        <a:p>
          <a:endParaRPr lang="es-PE" sz="1050">
            <a:latin typeface="+mj-lt"/>
          </a:endParaRPr>
        </a:p>
      </dgm:t>
    </dgm:pt>
    <dgm:pt modelId="{7E5BA619-DC75-4458-AB9D-E7BB9B55CA9B}" type="sibTrans" cxnId="{85AC29B9-C5CC-48B5-B273-E345787312E5}">
      <dgm:prSet/>
      <dgm:spPr/>
      <dgm:t>
        <a:bodyPr/>
        <a:lstStyle/>
        <a:p>
          <a:endParaRPr lang="es-PE" sz="1050">
            <a:latin typeface="+mj-lt"/>
          </a:endParaRPr>
        </a:p>
      </dgm:t>
    </dgm:pt>
    <dgm:pt modelId="{AF48D0FB-8294-4230-9CB4-0872B986D121}">
      <dgm:prSet phldrT="[Texto]" custT="1"/>
      <dgm:spPr/>
      <dgm:t>
        <a:bodyPr/>
        <a:lstStyle/>
        <a:p>
          <a:r>
            <a:rPr lang="es-PE" sz="900" dirty="0" smtClean="0">
              <a:latin typeface="+mj-lt"/>
            </a:rPr>
            <a:t>Adecuado soporte de especialistas nacionales en acuicultura</a:t>
          </a:r>
        </a:p>
      </dgm:t>
    </dgm:pt>
    <dgm:pt modelId="{3171082E-E274-4C01-9302-019020F91730}" type="parTrans" cxnId="{B6FB2E60-AD80-4B9B-951D-0D4058994908}">
      <dgm:prSet/>
      <dgm:spPr/>
      <dgm:t>
        <a:bodyPr/>
        <a:lstStyle/>
        <a:p>
          <a:endParaRPr lang="es-PE" sz="1050">
            <a:latin typeface="+mj-lt"/>
          </a:endParaRPr>
        </a:p>
      </dgm:t>
    </dgm:pt>
    <dgm:pt modelId="{69A392DA-D44B-4046-A3B5-57AAB92DDCC1}" type="sibTrans" cxnId="{B6FB2E60-AD80-4B9B-951D-0D4058994908}">
      <dgm:prSet/>
      <dgm:spPr/>
      <dgm:t>
        <a:bodyPr/>
        <a:lstStyle/>
        <a:p>
          <a:endParaRPr lang="es-PE" sz="1050">
            <a:latin typeface="+mj-lt"/>
          </a:endParaRPr>
        </a:p>
      </dgm:t>
    </dgm:pt>
    <dgm:pt modelId="{523B7AFD-725E-4CF3-9A11-8217E5956AC3}">
      <dgm:prSet phldrT="[Texto]" custT="1"/>
      <dgm:spPr/>
      <dgm:t>
        <a:bodyPr/>
        <a:lstStyle/>
        <a:p>
          <a:r>
            <a:rPr lang="es-PE" sz="900" dirty="0" smtClean="0">
              <a:latin typeface="+mj-lt"/>
            </a:rPr>
            <a:t>Políticas definidas para el ordenamiento y fomento de la acuicultura</a:t>
          </a:r>
        </a:p>
      </dgm:t>
    </dgm:pt>
    <dgm:pt modelId="{6C85F424-E94C-420B-9B84-CCCCA58F8276}" type="parTrans" cxnId="{039AD8E7-1DDB-4E37-8C95-7003A1271FF6}">
      <dgm:prSet/>
      <dgm:spPr/>
      <dgm:t>
        <a:bodyPr/>
        <a:lstStyle/>
        <a:p>
          <a:endParaRPr lang="es-ES">
            <a:latin typeface="+mj-lt"/>
          </a:endParaRPr>
        </a:p>
      </dgm:t>
    </dgm:pt>
    <dgm:pt modelId="{D49F70C0-EBAE-4413-9FDE-3E76DDB711AD}" type="sibTrans" cxnId="{039AD8E7-1DDB-4E37-8C95-7003A1271FF6}">
      <dgm:prSet/>
      <dgm:spPr/>
      <dgm:t>
        <a:bodyPr/>
        <a:lstStyle/>
        <a:p>
          <a:endParaRPr lang="es-ES">
            <a:latin typeface="+mj-lt"/>
          </a:endParaRPr>
        </a:p>
      </dgm:t>
    </dgm:pt>
    <dgm:pt modelId="{3B45AA3E-E7AB-4283-AE7A-CBB9B96170A2}">
      <dgm:prSet phldrT="[Texto]" custT="1"/>
      <dgm:spPr/>
      <dgm:t>
        <a:bodyPr/>
        <a:lstStyle/>
        <a:p>
          <a:r>
            <a:rPr lang="es-PE" sz="900" dirty="0" smtClean="0">
              <a:latin typeface="+mj-lt"/>
            </a:rPr>
            <a:t>Soporte exclusivo en I+DT+i a través del INPA</a:t>
          </a:r>
        </a:p>
      </dgm:t>
    </dgm:pt>
    <dgm:pt modelId="{D456DD0B-E238-45FB-B68A-773C8F8917B4}" type="parTrans" cxnId="{EEFFC0D7-4033-41B4-9DD1-A8A71E981B99}">
      <dgm:prSet/>
      <dgm:spPr/>
      <dgm:t>
        <a:bodyPr/>
        <a:lstStyle/>
        <a:p>
          <a:endParaRPr lang="es-ES">
            <a:latin typeface="+mj-lt"/>
          </a:endParaRPr>
        </a:p>
      </dgm:t>
    </dgm:pt>
    <dgm:pt modelId="{0E1E49A4-F4AE-4FB6-B657-C57270D591E2}" type="sibTrans" cxnId="{EEFFC0D7-4033-41B4-9DD1-A8A71E981B99}">
      <dgm:prSet/>
      <dgm:spPr/>
      <dgm:t>
        <a:bodyPr/>
        <a:lstStyle/>
        <a:p>
          <a:endParaRPr lang="es-ES">
            <a:latin typeface="+mj-lt"/>
          </a:endParaRPr>
        </a:p>
      </dgm:t>
    </dgm:pt>
    <dgm:pt modelId="{FCA47FC5-801B-43D0-B975-296476358DC0}">
      <dgm:prSet phldrT="[Texto]" custT="1"/>
      <dgm:spPr/>
      <dgm:t>
        <a:bodyPr/>
        <a:lstStyle/>
        <a:p>
          <a:r>
            <a:rPr lang="es-PE" sz="900" dirty="0">
              <a:latin typeface="+mj-lt"/>
            </a:rPr>
            <a:t>Soporte exclusivo en I+DT+i a través de Fundación Chile</a:t>
          </a:r>
        </a:p>
      </dgm:t>
    </dgm:pt>
    <dgm:pt modelId="{C2E438FC-86CC-47B0-BDD2-147A64F39378}" type="parTrans" cxnId="{88F9A38C-75C1-4547-B4DD-E8E2CDB39A16}">
      <dgm:prSet/>
      <dgm:spPr/>
      <dgm:t>
        <a:bodyPr/>
        <a:lstStyle/>
        <a:p>
          <a:endParaRPr lang="es-ES">
            <a:latin typeface="+mj-lt"/>
          </a:endParaRPr>
        </a:p>
      </dgm:t>
    </dgm:pt>
    <dgm:pt modelId="{FA376212-7AB3-4A7D-86D6-C519530CD7DA}" type="sibTrans" cxnId="{88F9A38C-75C1-4547-B4DD-E8E2CDB39A16}">
      <dgm:prSet/>
      <dgm:spPr/>
      <dgm:t>
        <a:bodyPr/>
        <a:lstStyle/>
        <a:p>
          <a:endParaRPr lang="es-ES">
            <a:latin typeface="+mj-lt"/>
          </a:endParaRPr>
        </a:p>
      </dgm:t>
    </dgm:pt>
    <dgm:pt modelId="{CC742D3F-3282-48DD-B878-7BEEB15548AA}">
      <dgm:prSet phldrT="[Texto]" custT="1"/>
      <dgm:spPr/>
      <dgm:t>
        <a:bodyPr/>
        <a:lstStyle/>
        <a:p>
          <a:r>
            <a:rPr lang="es-PE" sz="900" dirty="0">
              <a:latin typeface="+mj-lt"/>
            </a:rPr>
            <a:t>La acuicultura se incorporada como cluster importante para las exportaciones</a:t>
          </a:r>
        </a:p>
      </dgm:t>
    </dgm:pt>
    <dgm:pt modelId="{5A70501F-EA40-4703-BC96-6E3E33AF3107}" type="parTrans" cxnId="{9FA07D60-79EB-469F-BFF6-9C797500D1B8}">
      <dgm:prSet/>
      <dgm:spPr/>
    </dgm:pt>
    <dgm:pt modelId="{738A55B1-7DEF-460D-954A-53B73E8A19BF}" type="sibTrans" cxnId="{9FA07D60-79EB-469F-BFF6-9C797500D1B8}">
      <dgm:prSet/>
      <dgm:spPr/>
    </dgm:pt>
    <dgm:pt modelId="{12E8DD21-EA0E-4A72-804D-A680FA96CA9B}" type="pres">
      <dgm:prSet presAssocID="{432941DF-9780-48D7-87CE-D42DB36B3183}" presName="Name0" presStyleCnt="0">
        <dgm:presLayoutVars>
          <dgm:chMax val="7"/>
          <dgm:dir/>
          <dgm:animLvl val="lvl"/>
          <dgm:resizeHandles val="exact"/>
        </dgm:presLayoutVars>
      </dgm:prSet>
      <dgm:spPr/>
      <dgm:t>
        <a:bodyPr/>
        <a:lstStyle/>
        <a:p>
          <a:endParaRPr lang="es-ES"/>
        </a:p>
      </dgm:t>
    </dgm:pt>
    <dgm:pt modelId="{BF26B8E7-18E5-4EA9-9D76-BAC477D8F0CE}" type="pres">
      <dgm:prSet presAssocID="{4216B197-5F16-4C30-9BA6-8D9C25B845A5}" presName="circle1" presStyleLbl="node1" presStyleIdx="0" presStyleCnt="3" custScaleY="117666"/>
      <dgm:spPr/>
      <dgm:t>
        <a:bodyPr/>
        <a:lstStyle/>
        <a:p>
          <a:endParaRPr lang="es-ES"/>
        </a:p>
      </dgm:t>
    </dgm:pt>
    <dgm:pt modelId="{7EA4D544-3BB5-40D0-BEFD-E032A4702594}" type="pres">
      <dgm:prSet presAssocID="{4216B197-5F16-4C30-9BA6-8D9C25B845A5}" presName="space" presStyleCnt="0"/>
      <dgm:spPr/>
      <dgm:t>
        <a:bodyPr/>
        <a:lstStyle/>
        <a:p>
          <a:endParaRPr lang="es-ES"/>
        </a:p>
      </dgm:t>
    </dgm:pt>
    <dgm:pt modelId="{3C95B86B-B96E-4599-A646-F862A97B5A09}" type="pres">
      <dgm:prSet presAssocID="{4216B197-5F16-4C30-9BA6-8D9C25B845A5}" presName="rect1" presStyleLbl="alignAcc1" presStyleIdx="0" presStyleCnt="3" custScaleX="114757" custScaleY="118324"/>
      <dgm:spPr/>
      <dgm:t>
        <a:bodyPr/>
        <a:lstStyle/>
        <a:p>
          <a:endParaRPr lang="es-ES"/>
        </a:p>
      </dgm:t>
    </dgm:pt>
    <dgm:pt modelId="{3DBAF9F0-2FBF-4695-9D5A-A409984F09F7}" type="pres">
      <dgm:prSet presAssocID="{A7A57414-8486-4EA8-B1BC-2FC89093B380}" presName="vertSpace2" presStyleLbl="node1" presStyleIdx="0" presStyleCnt="3"/>
      <dgm:spPr/>
      <dgm:t>
        <a:bodyPr/>
        <a:lstStyle/>
        <a:p>
          <a:endParaRPr lang="es-ES"/>
        </a:p>
      </dgm:t>
    </dgm:pt>
    <dgm:pt modelId="{8438D216-AF77-4A1A-AAA2-8619E35D6B29}" type="pres">
      <dgm:prSet presAssocID="{A7A57414-8486-4EA8-B1BC-2FC89093B380}" presName="circle2" presStyleLbl="node1" presStyleIdx="1" presStyleCnt="3" custScaleY="102757"/>
      <dgm:spPr/>
      <dgm:t>
        <a:bodyPr/>
        <a:lstStyle/>
        <a:p>
          <a:endParaRPr lang="es-ES"/>
        </a:p>
      </dgm:t>
    </dgm:pt>
    <dgm:pt modelId="{922BAA05-3C9F-4B0E-B021-A618FD2ABAEA}" type="pres">
      <dgm:prSet presAssocID="{A7A57414-8486-4EA8-B1BC-2FC89093B380}" presName="rect2" presStyleLbl="alignAcc1" presStyleIdx="1" presStyleCnt="3" custScaleX="114757" custScaleY="102757" custLinFactNeighborY="0"/>
      <dgm:spPr/>
      <dgm:t>
        <a:bodyPr/>
        <a:lstStyle/>
        <a:p>
          <a:endParaRPr lang="es-PE"/>
        </a:p>
      </dgm:t>
    </dgm:pt>
    <dgm:pt modelId="{7D384996-7754-422B-8BEA-677B1BFF9E1A}" type="pres">
      <dgm:prSet presAssocID="{0708C45A-6D4B-4AD4-A779-A6F0208B480E}" presName="vertSpace3" presStyleLbl="node1" presStyleIdx="1" presStyleCnt="3"/>
      <dgm:spPr/>
      <dgm:t>
        <a:bodyPr/>
        <a:lstStyle/>
        <a:p>
          <a:endParaRPr lang="es-ES"/>
        </a:p>
      </dgm:t>
    </dgm:pt>
    <dgm:pt modelId="{8DB888D0-4E7C-49A3-A5A9-0268823A1B47}" type="pres">
      <dgm:prSet presAssocID="{0708C45A-6D4B-4AD4-A779-A6F0208B480E}" presName="circle3" presStyleLbl="node1" presStyleIdx="2" presStyleCnt="3" custScaleY="98727" custLinFactNeighborX="-8761" custLinFactNeighborY="6223"/>
      <dgm:spPr/>
      <dgm:t>
        <a:bodyPr/>
        <a:lstStyle/>
        <a:p>
          <a:endParaRPr lang="es-ES"/>
        </a:p>
      </dgm:t>
    </dgm:pt>
    <dgm:pt modelId="{EBC5C2DA-4996-42C6-9CDD-711C45D77646}" type="pres">
      <dgm:prSet presAssocID="{0708C45A-6D4B-4AD4-A779-A6F0208B480E}" presName="rect3" presStyleLbl="alignAcc1" presStyleIdx="2" presStyleCnt="3" custScaleX="114613" custScaleY="138876" custLinFactNeighborX="156" custLinFactNeighborY="17001"/>
      <dgm:spPr/>
      <dgm:t>
        <a:bodyPr/>
        <a:lstStyle/>
        <a:p>
          <a:endParaRPr lang="es-PE"/>
        </a:p>
      </dgm:t>
    </dgm:pt>
    <dgm:pt modelId="{F95AC708-CAC6-4792-9152-B7DF04CF3EE4}" type="pres">
      <dgm:prSet presAssocID="{4216B197-5F16-4C30-9BA6-8D9C25B845A5}" presName="rect1ParTx" presStyleLbl="alignAcc1" presStyleIdx="2" presStyleCnt="3">
        <dgm:presLayoutVars>
          <dgm:chMax val="1"/>
          <dgm:bulletEnabled val="1"/>
        </dgm:presLayoutVars>
      </dgm:prSet>
      <dgm:spPr/>
      <dgm:t>
        <a:bodyPr/>
        <a:lstStyle/>
        <a:p>
          <a:endParaRPr lang="es-ES"/>
        </a:p>
      </dgm:t>
    </dgm:pt>
    <dgm:pt modelId="{FB069448-E456-418E-B0D3-D8945D9753C9}" type="pres">
      <dgm:prSet presAssocID="{4216B197-5F16-4C30-9BA6-8D9C25B845A5}" presName="rect1ChTx" presStyleLbl="alignAcc1" presStyleIdx="2" presStyleCnt="3" custScaleX="175636" custScaleY="117204" custLinFactNeighborX="-26738" custLinFactNeighborY="-15341">
        <dgm:presLayoutVars>
          <dgm:bulletEnabled val="1"/>
        </dgm:presLayoutVars>
      </dgm:prSet>
      <dgm:spPr/>
      <dgm:t>
        <a:bodyPr/>
        <a:lstStyle/>
        <a:p>
          <a:endParaRPr lang="es-PE"/>
        </a:p>
      </dgm:t>
    </dgm:pt>
    <dgm:pt modelId="{1A23D618-9C0A-4D22-8A8E-955B21DEF4FE}" type="pres">
      <dgm:prSet presAssocID="{A7A57414-8486-4EA8-B1BC-2FC89093B380}" presName="rect2ParTx" presStyleLbl="alignAcc1" presStyleIdx="2" presStyleCnt="3">
        <dgm:presLayoutVars>
          <dgm:chMax val="1"/>
          <dgm:bulletEnabled val="1"/>
        </dgm:presLayoutVars>
      </dgm:prSet>
      <dgm:spPr/>
      <dgm:t>
        <a:bodyPr/>
        <a:lstStyle/>
        <a:p>
          <a:endParaRPr lang="es-PE"/>
        </a:p>
      </dgm:t>
    </dgm:pt>
    <dgm:pt modelId="{BF273711-1B6F-4BE4-9E79-FF2E80210F54}" type="pres">
      <dgm:prSet presAssocID="{A7A57414-8486-4EA8-B1BC-2FC89093B380}" presName="rect2ChTx" presStyleLbl="alignAcc1" presStyleIdx="2" presStyleCnt="3" custScaleX="166382" custLinFactNeighborX="-8786" custLinFactNeighborY="-1096">
        <dgm:presLayoutVars>
          <dgm:bulletEnabled val="1"/>
        </dgm:presLayoutVars>
      </dgm:prSet>
      <dgm:spPr/>
      <dgm:t>
        <a:bodyPr/>
        <a:lstStyle/>
        <a:p>
          <a:endParaRPr lang="es-PE"/>
        </a:p>
      </dgm:t>
    </dgm:pt>
    <dgm:pt modelId="{2E2D1828-7710-444D-8EFA-55EF3A4949DA}" type="pres">
      <dgm:prSet presAssocID="{0708C45A-6D4B-4AD4-A779-A6F0208B480E}" presName="rect3ParTx" presStyleLbl="alignAcc1" presStyleIdx="2" presStyleCnt="3">
        <dgm:presLayoutVars>
          <dgm:chMax val="1"/>
          <dgm:bulletEnabled val="1"/>
        </dgm:presLayoutVars>
      </dgm:prSet>
      <dgm:spPr/>
      <dgm:t>
        <a:bodyPr/>
        <a:lstStyle/>
        <a:p>
          <a:endParaRPr lang="es-PE"/>
        </a:p>
      </dgm:t>
    </dgm:pt>
    <dgm:pt modelId="{7B1DF0DE-F581-47B4-BAED-59C741FE4D91}" type="pres">
      <dgm:prSet presAssocID="{0708C45A-6D4B-4AD4-A779-A6F0208B480E}" presName="rect3ChTx" presStyleLbl="alignAcc1" presStyleIdx="2" presStyleCnt="3" custScaleX="152628" custScaleY="117595" custLinFactNeighborX="-16310" custLinFactNeighborY="22018">
        <dgm:presLayoutVars>
          <dgm:bulletEnabled val="1"/>
        </dgm:presLayoutVars>
      </dgm:prSet>
      <dgm:spPr/>
      <dgm:t>
        <a:bodyPr/>
        <a:lstStyle/>
        <a:p>
          <a:endParaRPr lang="es-PE"/>
        </a:p>
      </dgm:t>
    </dgm:pt>
  </dgm:ptLst>
  <dgm:cxnLst>
    <dgm:cxn modelId="{E53C0C09-14EE-47B9-8736-56E7BB69FD0D}" srcId="{A7A57414-8486-4EA8-B1BC-2FC89093B380}" destId="{4A71975B-E00D-43CC-965F-699475055570}" srcOrd="0" destOrd="0" parTransId="{786286C9-3F2C-4EF4-AAEB-E6AB92BD89E4}" sibTransId="{938187DD-5D1D-45E5-9310-9FC207A75038}"/>
    <dgm:cxn modelId="{B56139B3-E6E0-488B-975F-E7B03D1F6F93}" type="presOf" srcId="{05A796EE-9664-4042-8579-5B37D53A1471}" destId="{FB069448-E456-418E-B0D3-D8945D9753C9}" srcOrd="0" destOrd="0" presId="urn:microsoft.com/office/officeart/2005/8/layout/target3"/>
    <dgm:cxn modelId="{34CE8DF4-46B0-4632-A3F4-8BFE6EC11751}" srcId="{432941DF-9780-48D7-87CE-D42DB36B3183}" destId="{0708C45A-6D4B-4AD4-A779-A6F0208B480E}" srcOrd="2" destOrd="0" parTransId="{0668DF82-8881-4673-9595-0AC595BEE4BE}" sibTransId="{C0E68E58-044F-4456-9056-E0F087DC42FF}"/>
    <dgm:cxn modelId="{039AD8E7-1DDB-4E37-8C95-7003A1271FF6}" srcId="{4216B197-5F16-4C30-9BA6-8D9C25B845A5}" destId="{523B7AFD-725E-4CF3-9A11-8217E5956AC3}" srcOrd="1" destOrd="0" parTransId="{6C85F424-E94C-420B-9B84-CCCCA58F8276}" sibTransId="{D49F70C0-EBAE-4413-9FDE-3E76DDB711AD}"/>
    <dgm:cxn modelId="{7D5E525D-D480-436D-BC37-2F1EDD6E39F8}" type="presOf" srcId="{3B45AA3E-E7AB-4283-AE7A-CBB9B96170A2}" destId="{BF273711-1B6F-4BE4-9E79-FF2E80210F54}" srcOrd="0" destOrd="3" presId="urn:microsoft.com/office/officeart/2005/8/layout/target3"/>
    <dgm:cxn modelId="{2D863B89-FB13-45AF-9553-A7018316330F}" type="presOf" srcId="{A069476A-3B60-4215-990C-F93C93AC3A58}" destId="{7B1DF0DE-F581-47B4-BAED-59C741FE4D91}" srcOrd="0" destOrd="2" presId="urn:microsoft.com/office/officeart/2005/8/layout/target3"/>
    <dgm:cxn modelId="{62692C8D-D29F-4DDD-A413-FE4CA0F2B616}" srcId="{4216B197-5F16-4C30-9BA6-8D9C25B845A5}" destId="{2DE9DF3C-1034-4E72-A774-14E0EAAC8640}" srcOrd="2" destOrd="0" parTransId="{B2AD7C0C-D092-4A41-924C-0BD08DF991DB}" sibTransId="{7D3C702E-FED7-4AD2-AA4D-0E61C9C13A4F}"/>
    <dgm:cxn modelId="{26641011-5292-4026-8BCC-D1E6EC0A6D56}" srcId="{432941DF-9780-48D7-87CE-D42DB36B3183}" destId="{A7A57414-8486-4EA8-B1BC-2FC89093B380}" srcOrd="1" destOrd="0" parTransId="{0DF9EFBF-9307-4360-8625-B7B41E401EB5}" sibTransId="{3508CFEB-8572-4F58-AD77-034EFF9E2DF1}"/>
    <dgm:cxn modelId="{268CEEE2-58DF-4E39-A427-976794DD6ED4}" srcId="{0708C45A-6D4B-4AD4-A779-A6F0208B480E}" destId="{A069476A-3B60-4215-990C-F93C93AC3A58}" srcOrd="2" destOrd="0" parTransId="{CD7B6DEE-C686-4DB6-B71C-2567EF48F8E3}" sibTransId="{15EF6E81-97FD-4F22-8705-1BF02C5BD11E}"/>
    <dgm:cxn modelId="{88F9A38C-75C1-4547-B4DD-E8E2CDB39A16}" srcId="{0708C45A-6D4B-4AD4-A779-A6F0208B480E}" destId="{FCA47FC5-801B-43D0-B975-296476358DC0}" srcOrd="3" destOrd="0" parTransId="{C2E438FC-86CC-47B0-BDD2-147A64F39378}" sibTransId="{FA376212-7AB3-4A7D-86D6-C519530CD7DA}"/>
    <dgm:cxn modelId="{E0E21A04-1FE1-48DC-A43A-806B722099B2}" type="presOf" srcId="{C875B4CD-E852-4818-81F3-CE86D90A5934}" destId="{FB069448-E456-418E-B0D3-D8945D9753C9}" srcOrd="0" destOrd="3" presId="urn:microsoft.com/office/officeart/2005/8/layout/target3"/>
    <dgm:cxn modelId="{57A3B918-1276-488B-A97E-FE83728E0D73}" type="presOf" srcId="{0708C45A-6D4B-4AD4-A779-A6F0208B480E}" destId="{2E2D1828-7710-444D-8EFA-55EF3A4949DA}" srcOrd="1" destOrd="0" presId="urn:microsoft.com/office/officeart/2005/8/layout/target3"/>
    <dgm:cxn modelId="{85AC29B9-C5CC-48B5-B273-E345787312E5}" srcId="{4216B197-5F16-4C30-9BA6-8D9C25B845A5}" destId="{C875B4CD-E852-4818-81F3-CE86D90A5934}" srcOrd="3" destOrd="0" parTransId="{2BD89AD8-A6CD-43C4-A7EE-227C4BB90C5A}" sibTransId="{7E5BA619-DC75-4458-AB9D-E7BB9B55CA9B}"/>
    <dgm:cxn modelId="{3C057322-C0B0-4A44-B713-BF4AC04089D2}" srcId="{4216B197-5F16-4C30-9BA6-8D9C25B845A5}" destId="{05A796EE-9664-4042-8579-5B37D53A1471}" srcOrd="0" destOrd="0" parTransId="{4E895DDF-B584-46EF-ABE4-854C2B44C07A}" sibTransId="{549D48C2-EA33-4BBD-AC4C-42C786E6914F}"/>
    <dgm:cxn modelId="{044EC879-10CA-4978-81E9-0190A5AD33B9}" type="presOf" srcId="{CC742D3F-3282-48DD-B878-7BEEB15548AA}" destId="{7B1DF0DE-F581-47B4-BAED-59C741FE4D91}" srcOrd="0" destOrd="4" presId="urn:microsoft.com/office/officeart/2005/8/layout/target3"/>
    <dgm:cxn modelId="{A2FE07DC-D0C2-4C78-AE81-B87A661AF72F}" type="presOf" srcId="{AF48D0FB-8294-4230-9CB4-0872B986D121}" destId="{FB069448-E456-418E-B0D3-D8945D9753C9}" srcOrd="0" destOrd="4" presId="urn:microsoft.com/office/officeart/2005/8/layout/target3"/>
    <dgm:cxn modelId="{812DC468-EBA1-4C11-A0FA-8A78CCF43296}" srcId="{0708C45A-6D4B-4AD4-A779-A6F0208B480E}" destId="{ED9CD230-B3FA-40EC-8BC2-322EF459F5A9}" srcOrd="1" destOrd="0" parTransId="{F11A53F5-57C4-4EBB-9FE5-DE65D55BDCEE}" sibTransId="{E96BE199-4A3D-4071-8ECB-E5CF08462757}"/>
    <dgm:cxn modelId="{5659E2B7-58F4-4978-837B-466A4C1046DB}" type="presOf" srcId="{523B7AFD-725E-4CF3-9A11-8217E5956AC3}" destId="{FB069448-E456-418E-B0D3-D8945D9753C9}" srcOrd="0" destOrd="1" presId="urn:microsoft.com/office/officeart/2005/8/layout/target3"/>
    <dgm:cxn modelId="{84A6FF9B-50A3-4CE6-B8B2-AD1A31376DDF}" type="presOf" srcId="{4216B197-5F16-4C30-9BA6-8D9C25B845A5}" destId="{3C95B86B-B96E-4599-A646-F862A97B5A09}" srcOrd="0" destOrd="0" presId="urn:microsoft.com/office/officeart/2005/8/layout/target3"/>
    <dgm:cxn modelId="{B6FB2E60-AD80-4B9B-951D-0D4058994908}" srcId="{4216B197-5F16-4C30-9BA6-8D9C25B845A5}" destId="{AF48D0FB-8294-4230-9CB4-0872B986D121}" srcOrd="4" destOrd="0" parTransId="{3171082E-E274-4C01-9302-019020F91730}" sibTransId="{69A392DA-D44B-4046-A3B5-57AAB92DDCC1}"/>
    <dgm:cxn modelId="{EEFFC0D7-4033-41B4-9DD1-A8A71E981B99}" srcId="{A7A57414-8486-4EA8-B1BC-2FC89093B380}" destId="{3B45AA3E-E7AB-4283-AE7A-CBB9B96170A2}" srcOrd="3" destOrd="0" parTransId="{D456DD0B-E238-45FB-B68A-773C8F8917B4}" sibTransId="{0E1E49A4-F4AE-4FB6-B657-C57270D591E2}"/>
    <dgm:cxn modelId="{01C4B2BC-07A7-40CF-8BE5-03137135E53C}" type="presOf" srcId="{2DE9DF3C-1034-4E72-A774-14E0EAAC8640}" destId="{FB069448-E456-418E-B0D3-D8945D9753C9}" srcOrd="0" destOrd="2" presId="urn:microsoft.com/office/officeart/2005/8/layout/target3"/>
    <dgm:cxn modelId="{C3DC16BF-A0FA-4AD5-8237-FA9CF23CE7E3}" type="presOf" srcId="{CEF8700F-2BC8-4176-A3B1-925123C1213D}" destId="{BF273711-1B6F-4BE4-9E79-FF2E80210F54}" srcOrd="0" destOrd="1" presId="urn:microsoft.com/office/officeart/2005/8/layout/target3"/>
    <dgm:cxn modelId="{7046A8AF-4F2D-44A4-B70B-EA2CE1FBD952}" srcId="{A7A57414-8486-4EA8-B1BC-2FC89093B380}" destId="{CEF8700F-2BC8-4176-A3B1-925123C1213D}" srcOrd="1" destOrd="0" parTransId="{53A27251-3C67-4FB2-A56D-0BE5FAC3A0C8}" sibTransId="{9DD81505-4CFD-4E23-9F3A-448B51CDC54E}"/>
    <dgm:cxn modelId="{A3AFB2EC-FC09-4196-81AA-42FD0D14F9DA}" type="presOf" srcId="{0708C45A-6D4B-4AD4-A779-A6F0208B480E}" destId="{EBC5C2DA-4996-42C6-9CDD-711C45D77646}" srcOrd="0" destOrd="0" presId="urn:microsoft.com/office/officeart/2005/8/layout/target3"/>
    <dgm:cxn modelId="{F757219F-B618-4220-A2EC-B4662AD9B830}" srcId="{0708C45A-6D4B-4AD4-A779-A6F0208B480E}" destId="{179741AD-4EBD-4A35-8225-81AD3B1DE50B}" srcOrd="0" destOrd="0" parTransId="{6AE9D6EB-0E60-446A-8BEE-A73A3E3718DB}" sibTransId="{9A3E29F4-FCA0-4BCD-9599-7DDD41A58EC0}"/>
    <dgm:cxn modelId="{EB7F89A9-4517-43CF-A18D-868133F0F7AD}" srcId="{A7A57414-8486-4EA8-B1BC-2FC89093B380}" destId="{13C45192-016B-454D-9858-0D1B60D9E961}" srcOrd="2" destOrd="0" parTransId="{4EB17B93-0784-4AC4-A3B1-DD8BAF63616F}" sibTransId="{8E8B67E0-43D0-49A3-894F-740ED93ED36E}"/>
    <dgm:cxn modelId="{47C67C10-027E-474A-B710-681D8BF3740F}" type="presOf" srcId="{432941DF-9780-48D7-87CE-D42DB36B3183}" destId="{12E8DD21-EA0E-4A72-804D-A680FA96CA9B}" srcOrd="0" destOrd="0" presId="urn:microsoft.com/office/officeart/2005/8/layout/target3"/>
    <dgm:cxn modelId="{9FA07D60-79EB-469F-BFF6-9C797500D1B8}" srcId="{0708C45A-6D4B-4AD4-A779-A6F0208B480E}" destId="{CC742D3F-3282-48DD-B878-7BEEB15548AA}" srcOrd="4" destOrd="0" parTransId="{5A70501F-EA40-4703-BC96-6E3E33AF3107}" sibTransId="{738A55B1-7DEF-460D-954A-53B73E8A19BF}"/>
    <dgm:cxn modelId="{4E6DCD10-0AC3-45A4-AD78-A054C93CDBF7}" type="presOf" srcId="{179741AD-4EBD-4A35-8225-81AD3B1DE50B}" destId="{7B1DF0DE-F581-47B4-BAED-59C741FE4D91}" srcOrd="0" destOrd="0" presId="urn:microsoft.com/office/officeart/2005/8/layout/target3"/>
    <dgm:cxn modelId="{E33EBA01-3179-476E-BED7-E51B15F5D0EF}" type="presOf" srcId="{FCA47FC5-801B-43D0-B975-296476358DC0}" destId="{7B1DF0DE-F581-47B4-BAED-59C741FE4D91}" srcOrd="0" destOrd="3" presId="urn:microsoft.com/office/officeart/2005/8/layout/target3"/>
    <dgm:cxn modelId="{3C7FCDE4-A93C-4D08-B07A-357C90B1DC73}" type="presOf" srcId="{13C45192-016B-454D-9858-0D1B60D9E961}" destId="{BF273711-1B6F-4BE4-9E79-FF2E80210F54}" srcOrd="0" destOrd="2" presId="urn:microsoft.com/office/officeart/2005/8/layout/target3"/>
    <dgm:cxn modelId="{BC08D65E-1B6A-43F2-BC0F-B8D951EE1B71}" type="presOf" srcId="{A7A57414-8486-4EA8-B1BC-2FC89093B380}" destId="{922BAA05-3C9F-4B0E-B021-A618FD2ABAEA}" srcOrd="0" destOrd="0" presId="urn:microsoft.com/office/officeart/2005/8/layout/target3"/>
    <dgm:cxn modelId="{D46EE5EE-AA63-4212-A534-771D46A90F43}" type="presOf" srcId="{4A71975B-E00D-43CC-965F-699475055570}" destId="{BF273711-1B6F-4BE4-9E79-FF2E80210F54}" srcOrd="0" destOrd="0" presId="urn:microsoft.com/office/officeart/2005/8/layout/target3"/>
    <dgm:cxn modelId="{330DDEE4-FA73-4512-9B8A-FC016024D7B8}" type="presOf" srcId="{ED9CD230-B3FA-40EC-8BC2-322EF459F5A9}" destId="{7B1DF0DE-F581-47B4-BAED-59C741FE4D91}" srcOrd="0" destOrd="1" presId="urn:microsoft.com/office/officeart/2005/8/layout/target3"/>
    <dgm:cxn modelId="{748238C1-D881-4AF7-B61E-FD738601DBC6}" type="presOf" srcId="{4216B197-5F16-4C30-9BA6-8D9C25B845A5}" destId="{F95AC708-CAC6-4792-9152-B7DF04CF3EE4}" srcOrd="1" destOrd="0" presId="urn:microsoft.com/office/officeart/2005/8/layout/target3"/>
    <dgm:cxn modelId="{2BB95FF6-BDCE-4ADA-B7D6-D218C1DB42C1}" type="presOf" srcId="{A7A57414-8486-4EA8-B1BC-2FC89093B380}" destId="{1A23D618-9C0A-4D22-8A8E-955B21DEF4FE}" srcOrd="1" destOrd="0" presId="urn:microsoft.com/office/officeart/2005/8/layout/target3"/>
    <dgm:cxn modelId="{379A06CF-5326-445A-ACDC-16AD2D1710C3}" srcId="{432941DF-9780-48D7-87CE-D42DB36B3183}" destId="{4216B197-5F16-4C30-9BA6-8D9C25B845A5}" srcOrd="0" destOrd="0" parTransId="{DE6F9768-8834-4F9C-931E-7677185E86CF}" sibTransId="{8F3734DE-EC11-4A27-9A37-83B2939629FE}"/>
    <dgm:cxn modelId="{6E48F59E-1658-43D6-B14B-180E98652E12}" type="presParOf" srcId="{12E8DD21-EA0E-4A72-804D-A680FA96CA9B}" destId="{BF26B8E7-18E5-4EA9-9D76-BAC477D8F0CE}" srcOrd="0" destOrd="0" presId="urn:microsoft.com/office/officeart/2005/8/layout/target3"/>
    <dgm:cxn modelId="{3593FD29-93BB-4C38-8A3E-32A492A07273}" type="presParOf" srcId="{12E8DD21-EA0E-4A72-804D-A680FA96CA9B}" destId="{7EA4D544-3BB5-40D0-BEFD-E032A4702594}" srcOrd="1" destOrd="0" presId="urn:microsoft.com/office/officeart/2005/8/layout/target3"/>
    <dgm:cxn modelId="{2F981F50-FB05-4982-A369-67259C34C35C}" type="presParOf" srcId="{12E8DD21-EA0E-4A72-804D-A680FA96CA9B}" destId="{3C95B86B-B96E-4599-A646-F862A97B5A09}" srcOrd="2" destOrd="0" presId="urn:microsoft.com/office/officeart/2005/8/layout/target3"/>
    <dgm:cxn modelId="{5D2530C1-0E9A-4ABA-A1A8-6EEAF52C4083}" type="presParOf" srcId="{12E8DD21-EA0E-4A72-804D-A680FA96CA9B}" destId="{3DBAF9F0-2FBF-4695-9D5A-A409984F09F7}" srcOrd="3" destOrd="0" presId="urn:microsoft.com/office/officeart/2005/8/layout/target3"/>
    <dgm:cxn modelId="{17EBD0DB-D8A6-4C8F-998D-62D71E82529D}" type="presParOf" srcId="{12E8DD21-EA0E-4A72-804D-A680FA96CA9B}" destId="{8438D216-AF77-4A1A-AAA2-8619E35D6B29}" srcOrd="4" destOrd="0" presId="urn:microsoft.com/office/officeart/2005/8/layout/target3"/>
    <dgm:cxn modelId="{6F252E33-2FF7-487B-AECA-1D31A111F89F}" type="presParOf" srcId="{12E8DD21-EA0E-4A72-804D-A680FA96CA9B}" destId="{922BAA05-3C9F-4B0E-B021-A618FD2ABAEA}" srcOrd="5" destOrd="0" presId="urn:microsoft.com/office/officeart/2005/8/layout/target3"/>
    <dgm:cxn modelId="{81A815D5-1D0A-4312-924C-0DC5EB9699E9}" type="presParOf" srcId="{12E8DD21-EA0E-4A72-804D-A680FA96CA9B}" destId="{7D384996-7754-422B-8BEA-677B1BFF9E1A}" srcOrd="6" destOrd="0" presId="urn:microsoft.com/office/officeart/2005/8/layout/target3"/>
    <dgm:cxn modelId="{1DFC78AE-E51F-4E0D-AB73-4379E909F939}" type="presParOf" srcId="{12E8DD21-EA0E-4A72-804D-A680FA96CA9B}" destId="{8DB888D0-4E7C-49A3-A5A9-0268823A1B47}" srcOrd="7" destOrd="0" presId="urn:microsoft.com/office/officeart/2005/8/layout/target3"/>
    <dgm:cxn modelId="{4B35BBCD-F861-46D2-942F-0FDFEEAC6048}" type="presParOf" srcId="{12E8DD21-EA0E-4A72-804D-A680FA96CA9B}" destId="{EBC5C2DA-4996-42C6-9CDD-711C45D77646}" srcOrd="8" destOrd="0" presId="urn:microsoft.com/office/officeart/2005/8/layout/target3"/>
    <dgm:cxn modelId="{B922BB7B-FFEE-498D-86EE-66CBFA88F950}" type="presParOf" srcId="{12E8DD21-EA0E-4A72-804D-A680FA96CA9B}" destId="{F95AC708-CAC6-4792-9152-B7DF04CF3EE4}" srcOrd="9" destOrd="0" presId="urn:microsoft.com/office/officeart/2005/8/layout/target3"/>
    <dgm:cxn modelId="{5AB7D66F-5C5F-4675-BB6E-DCA566E41896}" type="presParOf" srcId="{12E8DD21-EA0E-4A72-804D-A680FA96CA9B}" destId="{FB069448-E456-418E-B0D3-D8945D9753C9}" srcOrd="10" destOrd="0" presId="urn:microsoft.com/office/officeart/2005/8/layout/target3"/>
    <dgm:cxn modelId="{DE87F079-B65E-41E0-8298-8F974BE7EBBB}" type="presParOf" srcId="{12E8DD21-EA0E-4A72-804D-A680FA96CA9B}" destId="{1A23D618-9C0A-4D22-8A8E-955B21DEF4FE}" srcOrd="11" destOrd="0" presId="urn:microsoft.com/office/officeart/2005/8/layout/target3"/>
    <dgm:cxn modelId="{C35548B9-6303-422F-B91E-9A4823A70639}" type="presParOf" srcId="{12E8DD21-EA0E-4A72-804D-A680FA96CA9B}" destId="{BF273711-1B6F-4BE4-9E79-FF2E80210F54}" srcOrd="12" destOrd="0" presId="urn:microsoft.com/office/officeart/2005/8/layout/target3"/>
    <dgm:cxn modelId="{479A298D-9427-4866-B3DE-2F18FEE5581D}" type="presParOf" srcId="{12E8DD21-EA0E-4A72-804D-A680FA96CA9B}" destId="{2E2D1828-7710-444D-8EFA-55EF3A4949DA}" srcOrd="13" destOrd="0" presId="urn:microsoft.com/office/officeart/2005/8/layout/target3"/>
    <dgm:cxn modelId="{5E1049CB-ACDD-4B10-B1F4-CD3D0A97BAEF}" type="presParOf" srcId="{12E8DD21-EA0E-4A72-804D-A680FA96CA9B}" destId="{7B1DF0DE-F581-47B4-BAED-59C741FE4D91}" srcOrd="14" destOrd="0" presId="urn:microsoft.com/office/officeart/2005/8/layout/targe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C1B8B6-D1B5-41E4-9003-DA8B9EA55EC4}" type="doc">
      <dgm:prSet loTypeId="urn:microsoft.com/office/officeart/2005/8/layout/orgChart1" loCatId="hierarchy" qsTypeId="urn:microsoft.com/office/officeart/2005/8/quickstyle/simple1" qsCatId="simple" csTypeId="urn:microsoft.com/office/officeart/2005/8/colors/accent1_2" csCatId="accent1"/>
      <dgm:spPr/>
    </dgm:pt>
    <dgm:pt modelId="{FBFBCA85-E22C-4E6D-91DA-6644F5B5FEA3}">
      <dgm:prSet/>
      <dgm:spPr/>
      <dgm:t>
        <a:bodyPr/>
        <a:lstStyle/>
        <a:p>
          <a:pPr marR="0" algn="ctr" rtl="0"/>
          <a:r>
            <a:rPr lang="es-PE" b="1" i="0" u="none" strike="noStrike" baseline="0" smtClean="0">
              <a:latin typeface="Calibri" panose="020F0502020204030204" pitchFamily="34" charset="0"/>
            </a:rPr>
            <a:t>Despacho Viceministerial de Acuicultura</a:t>
          </a:r>
          <a:endParaRPr lang="es-PE" smtClean="0"/>
        </a:p>
      </dgm:t>
    </dgm:pt>
    <dgm:pt modelId="{02DB481A-367C-426D-9156-519E2E244489}" type="parTrans" cxnId="{3044C44D-9F5E-4A63-AA96-6AFACA3D98C5}">
      <dgm:prSet/>
      <dgm:spPr/>
      <dgm:t>
        <a:bodyPr/>
        <a:lstStyle/>
        <a:p>
          <a:endParaRPr lang="es-PE"/>
        </a:p>
      </dgm:t>
    </dgm:pt>
    <dgm:pt modelId="{AAC371D1-8A4E-44F3-ABA6-EBF34EDEE6A4}" type="sibTrans" cxnId="{3044C44D-9F5E-4A63-AA96-6AFACA3D98C5}">
      <dgm:prSet/>
      <dgm:spPr/>
      <dgm:t>
        <a:bodyPr/>
        <a:lstStyle/>
        <a:p>
          <a:endParaRPr lang="es-PE"/>
        </a:p>
      </dgm:t>
    </dgm:pt>
    <dgm:pt modelId="{4EE2387E-3A31-41A9-8CCB-0C4E132624E5}">
      <dgm:prSet/>
      <dgm:spPr/>
      <dgm:t>
        <a:bodyPr/>
        <a:lstStyle/>
        <a:p>
          <a:pPr marR="0" algn="ctr" rtl="0"/>
          <a:r>
            <a:rPr lang="es-PE" b="1" i="0" u="none" strike="noStrike" baseline="0" smtClean="0">
              <a:latin typeface="Calibri" panose="020F0502020204030204" pitchFamily="34" charset="0"/>
            </a:rPr>
            <a:t>Dirección General de Ordenamiento y Administración de la Acuicultura</a:t>
          </a:r>
          <a:endParaRPr lang="es-PE" smtClean="0"/>
        </a:p>
      </dgm:t>
    </dgm:pt>
    <dgm:pt modelId="{B2AC4A24-335C-46C4-941D-606F0B200B21}" type="parTrans" cxnId="{224D52AD-714C-41AD-B500-B3BC6C5D2BDC}">
      <dgm:prSet/>
      <dgm:spPr/>
      <dgm:t>
        <a:bodyPr/>
        <a:lstStyle/>
        <a:p>
          <a:endParaRPr lang="es-PE"/>
        </a:p>
      </dgm:t>
    </dgm:pt>
    <dgm:pt modelId="{B616EDA8-851B-4CD3-A2B9-8EBD1D326F49}" type="sibTrans" cxnId="{224D52AD-714C-41AD-B500-B3BC6C5D2BDC}">
      <dgm:prSet/>
      <dgm:spPr/>
      <dgm:t>
        <a:bodyPr/>
        <a:lstStyle/>
        <a:p>
          <a:endParaRPr lang="es-PE"/>
        </a:p>
      </dgm:t>
    </dgm:pt>
    <dgm:pt modelId="{F02AD064-232F-40D8-9B08-6B7356BF318B}">
      <dgm:prSet/>
      <dgm:spPr/>
      <dgm:t>
        <a:bodyPr/>
        <a:lstStyle/>
        <a:p>
          <a:pPr marR="0" algn="ctr" rtl="0"/>
          <a:r>
            <a:rPr lang="es-PE" b="1" i="0" u="none" strike="noStrike" baseline="0" smtClean="0">
              <a:latin typeface="Calibri" panose="020F0502020204030204" pitchFamily="34" charset="0"/>
            </a:rPr>
            <a:t>Dirección General de Gestión y Desarrollo de la Acuicultura</a:t>
          </a:r>
          <a:endParaRPr lang="es-PE" smtClean="0"/>
        </a:p>
      </dgm:t>
    </dgm:pt>
    <dgm:pt modelId="{282A9E92-ECB5-44F4-BA0D-10B626796EC4}" type="parTrans" cxnId="{12ADA71A-A066-4E1A-9910-00088FB33BB0}">
      <dgm:prSet/>
      <dgm:spPr/>
      <dgm:t>
        <a:bodyPr/>
        <a:lstStyle/>
        <a:p>
          <a:endParaRPr lang="es-PE"/>
        </a:p>
      </dgm:t>
    </dgm:pt>
    <dgm:pt modelId="{B206CBF5-5CB3-4E24-8831-AE2EB91DD290}" type="sibTrans" cxnId="{12ADA71A-A066-4E1A-9910-00088FB33BB0}">
      <dgm:prSet/>
      <dgm:spPr/>
      <dgm:t>
        <a:bodyPr/>
        <a:lstStyle/>
        <a:p>
          <a:endParaRPr lang="es-PE"/>
        </a:p>
      </dgm:t>
    </dgm:pt>
    <dgm:pt modelId="{189CAA3F-77FC-4B8C-A5E6-FB0F84F5471F}">
      <dgm:prSet/>
      <dgm:spPr/>
      <dgm:t>
        <a:bodyPr/>
        <a:lstStyle/>
        <a:p>
          <a:pPr marR="0" algn="ctr" rtl="0"/>
          <a:r>
            <a:rPr lang="es-PE" b="1" i="0" u="none" strike="noStrike" baseline="0" smtClean="0">
              <a:latin typeface="Calibri" panose="020F0502020204030204" pitchFamily="34" charset="0"/>
            </a:rPr>
            <a:t>Dirección General de Medio Ambiente en Acuicultura</a:t>
          </a:r>
          <a:endParaRPr lang="es-PE" smtClean="0"/>
        </a:p>
      </dgm:t>
    </dgm:pt>
    <dgm:pt modelId="{562C1257-6630-4375-86C1-642F570B22A0}" type="parTrans" cxnId="{769B8DCE-4312-4DFE-B9F9-2D94841D18DC}">
      <dgm:prSet/>
      <dgm:spPr/>
      <dgm:t>
        <a:bodyPr/>
        <a:lstStyle/>
        <a:p>
          <a:endParaRPr lang="es-PE"/>
        </a:p>
      </dgm:t>
    </dgm:pt>
    <dgm:pt modelId="{5EA26EAF-C929-4490-B386-22C80CFB2698}" type="sibTrans" cxnId="{769B8DCE-4312-4DFE-B9F9-2D94841D18DC}">
      <dgm:prSet/>
      <dgm:spPr/>
      <dgm:t>
        <a:bodyPr/>
        <a:lstStyle/>
        <a:p>
          <a:endParaRPr lang="es-PE"/>
        </a:p>
      </dgm:t>
    </dgm:pt>
    <dgm:pt modelId="{3A5E3C5D-59B9-4714-9763-27A78B314204}">
      <dgm:prSet/>
      <dgm:spPr/>
      <dgm:t>
        <a:bodyPr/>
        <a:lstStyle/>
        <a:p>
          <a:pPr marR="0" algn="ctr" rtl="0"/>
          <a:r>
            <a:rPr lang="es-PE" b="1" i="0" u="none" strike="noStrike" baseline="0" smtClean="0">
              <a:latin typeface="Calibri" panose="020F0502020204030204" pitchFamily="34" charset="0"/>
            </a:rPr>
            <a:t>Dirección General de Seguimiento y Control de la Acuicultura</a:t>
          </a:r>
          <a:endParaRPr lang="es-PE" smtClean="0"/>
        </a:p>
      </dgm:t>
    </dgm:pt>
    <dgm:pt modelId="{E60B3A91-9B78-4446-9E35-20B80C836A56}" type="parTrans" cxnId="{0EF739B3-3C05-4423-88A6-54BFFB5501BE}">
      <dgm:prSet/>
      <dgm:spPr/>
      <dgm:t>
        <a:bodyPr/>
        <a:lstStyle/>
        <a:p>
          <a:endParaRPr lang="es-PE"/>
        </a:p>
      </dgm:t>
    </dgm:pt>
    <dgm:pt modelId="{6DFF736F-6704-44DF-8D3D-5A786900ADDD}" type="sibTrans" cxnId="{0EF739B3-3C05-4423-88A6-54BFFB5501BE}">
      <dgm:prSet/>
      <dgm:spPr/>
      <dgm:t>
        <a:bodyPr/>
        <a:lstStyle/>
        <a:p>
          <a:endParaRPr lang="es-PE"/>
        </a:p>
      </dgm:t>
    </dgm:pt>
    <dgm:pt modelId="{02CCC228-AEED-49FA-BD65-4996CF235C18}" type="pres">
      <dgm:prSet presAssocID="{EDC1B8B6-D1B5-41E4-9003-DA8B9EA55EC4}" presName="hierChild1" presStyleCnt="0">
        <dgm:presLayoutVars>
          <dgm:orgChart val="1"/>
          <dgm:chPref val="1"/>
          <dgm:dir/>
          <dgm:animOne val="branch"/>
          <dgm:animLvl val="lvl"/>
          <dgm:resizeHandles/>
        </dgm:presLayoutVars>
      </dgm:prSet>
      <dgm:spPr/>
    </dgm:pt>
    <dgm:pt modelId="{C592688C-54CD-4FF6-875F-B28ECC181598}" type="pres">
      <dgm:prSet presAssocID="{FBFBCA85-E22C-4E6D-91DA-6644F5B5FEA3}" presName="hierRoot1" presStyleCnt="0">
        <dgm:presLayoutVars>
          <dgm:hierBranch/>
        </dgm:presLayoutVars>
      </dgm:prSet>
      <dgm:spPr/>
    </dgm:pt>
    <dgm:pt modelId="{B6126487-58C1-48ED-96B6-B42C0DBBB5D6}" type="pres">
      <dgm:prSet presAssocID="{FBFBCA85-E22C-4E6D-91DA-6644F5B5FEA3}" presName="rootComposite1" presStyleCnt="0"/>
      <dgm:spPr/>
    </dgm:pt>
    <dgm:pt modelId="{706F8C94-CB5D-4C1C-80C4-0BFD79BB4148}" type="pres">
      <dgm:prSet presAssocID="{FBFBCA85-E22C-4E6D-91DA-6644F5B5FEA3}" presName="rootText1" presStyleLbl="node0" presStyleIdx="0" presStyleCnt="1">
        <dgm:presLayoutVars>
          <dgm:chPref val="3"/>
        </dgm:presLayoutVars>
      </dgm:prSet>
      <dgm:spPr/>
    </dgm:pt>
    <dgm:pt modelId="{1C86C879-D4A0-486F-A9B0-BD3655E131EB}" type="pres">
      <dgm:prSet presAssocID="{FBFBCA85-E22C-4E6D-91DA-6644F5B5FEA3}" presName="rootConnector1" presStyleLbl="node1" presStyleIdx="0" presStyleCnt="0"/>
      <dgm:spPr/>
    </dgm:pt>
    <dgm:pt modelId="{AB324ED4-9E00-4EC2-83F8-4915F89B5CC9}" type="pres">
      <dgm:prSet presAssocID="{FBFBCA85-E22C-4E6D-91DA-6644F5B5FEA3}" presName="hierChild2" presStyleCnt="0"/>
      <dgm:spPr/>
    </dgm:pt>
    <dgm:pt modelId="{C971C929-C96D-4CDE-97D8-5448D54DCCEC}" type="pres">
      <dgm:prSet presAssocID="{B2AC4A24-335C-46C4-941D-606F0B200B21}" presName="Name35" presStyleLbl="parChTrans1D2" presStyleIdx="0" presStyleCnt="4"/>
      <dgm:spPr/>
    </dgm:pt>
    <dgm:pt modelId="{10719908-C222-4452-B3AE-6740BA930053}" type="pres">
      <dgm:prSet presAssocID="{4EE2387E-3A31-41A9-8CCB-0C4E132624E5}" presName="hierRoot2" presStyleCnt="0">
        <dgm:presLayoutVars>
          <dgm:hierBranch val="l"/>
        </dgm:presLayoutVars>
      </dgm:prSet>
      <dgm:spPr/>
    </dgm:pt>
    <dgm:pt modelId="{214D7563-F4B9-47FB-B6BB-5912545F813D}" type="pres">
      <dgm:prSet presAssocID="{4EE2387E-3A31-41A9-8CCB-0C4E132624E5}" presName="rootComposite" presStyleCnt="0"/>
      <dgm:spPr/>
    </dgm:pt>
    <dgm:pt modelId="{BAE27A33-B793-4A00-A575-54CF3D221260}" type="pres">
      <dgm:prSet presAssocID="{4EE2387E-3A31-41A9-8CCB-0C4E132624E5}" presName="rootText" presStyleLbl="node2" presStyleIdx="0" presStyleCnt="4">
        <dgm:presLayoutVars>
          <dgm:chPref val="3"/>
        </dgm:presLayoutVars>
      </dgm:prSet>
      <dgm:spPr/>
    </dgm:pt>
    <dgm:pt modelId="{826D5FC4-5DDD-476D-B5E8-E6C48F17B7CB}" type="pres">
      <dgm:prSet presAssocID="{4EE2387E-3A31-41A9-8CCB-0C4E132624E5}" presName="rootConnector" presStyleLbl="node2" presStyleIdx="0" presStyleCnt="4"/>
      <dgm:spPr/>
    </dgm:pt>
    <dgm:pt modelId="{86EC139E-5360-4C19-BD23-B7EFB45CE3D7}" type="pres">
      <dgm:prSet presAssocID="{4EE2387E-3A31-41A9-8CCB-0C4E132624E5}" presName="hierChild4" presStyleCnt="0"/>
      <dgm:spPr/>
    </dgm:pt>
    <dgm:pt modelId="{41917640-7829-4188-B912-83BC65EB4B7E}" type="pres">
      <dgm:prSet presAssocID="{4EE2387E-3A31-41A9-8CCB-0C4E132624E5}" presName="hierChild5" presStyleCnt="0"/>
      <dgm:spPr/>
    </dgm:pt>
    <dgm:pt modelId="{0CD12527-9BC4-4276-988B-1A55450850A4}" type="pres">
      <dgm:prSet presAssocID="{282A9E92-ECB5-44F4-BA0D-10B626796EC4}" presName="Name35" presStyleLbl="parChTrans1D2" presStyleIdx="1" presStyleCnt="4"/>
      <dgm:spPr/>
    </dgm:pt>
    <dgm:pt modelId="{C0B77A58-AF1C-453F-A568-F93788B51E3F}" type="pres">
      <dgm:prSet presAssocID="{F02AD064-232F-40D8-9B08-6B7356BF318B}" presName="hierRoot2" presStyleCnt="0">
        <dgm:presLayoutVars>
          <dgm:hierBranch val="l"/>
        </dgm:presLayoutVars>
      </dgm:prSet>
      <dgm:spPr/>
    </dgm:pt>
    <dgm:pt modelId="{77882EFA-22A6-4E9F-81A0-4D0AE4C12E34}" type="pres">
      <dgm:prSet presAssocID="{F02AD064-232F-40D8-9B08-6B7356BF318B}" presName="rootComposite" presStyleCnt="0"/>
      <dgm:spPr/>
    </dgm:pt>
    <dgm:pt modelId="{EF261BE6-97BA-48D8-B3C0-539119DAA113}" type="pres">
      <dgm:prSet presAssocID="{F02AD064-232F-40D8-9B08-6B7356BF318B}" presName="rootText" presStyleLbl="node2" presStyleIdx="1" presStyleCnt="4">
        <dgm:presLayoutVars>
          <dgm:chPref val="3"/>
        </dgm:presLayoutVars>
      </dgm:prSet>
      <dgm:spPr/>
    </dgm:pt>
    <dgm:pt modelId="{EAC289A0-A2D1-4D13-A852-FD947A9637C0}" type="pres">
      <dgm:prSet presAssocID="{F02AD064-232F-40D8-9B08-6B7356BF318B}" presName="rootConnector" presStyleLbl="node2" presStyleIdx="1" presStyleCnt="4"/>
      <dgm:spPr/>
    </dgm:pt>
    <dgm:pt modelId="{5D8E7B9B-A579-4100-9AC6-57CBF94FF9B3}" type="pres">
      <dgm:prSet presAssocID="{F02AD064-232F-40D8-9B08-6B7356BF318B}" presName="hierChild4" presStyleCnt="0"/>
      <dgm:spPr/>
    </dgm:pt>
    <dgm:pt modelId="{81EF97A2-5DB4-437A-973D-8F00A9C09002}" type="pres">
      <dgm:prSet presAssocID="{F02AD064-232F-40D8-9B08-6B7356BF318B}" presName="hierChild5" presStyleCnt="0"/>
      <dgm:spPr/>
    </dgm:pt>
    <dgm:pt modelId="{22BEE65D-900C-4AB5-800D-AE7D0DFC0D54}" type="pres">
      <dgm:prSet presAssocID="{562C1257-6630-4375-86C1-642F570B22A0}" presName="Name35" presStyleLbl="parChTrans1D2" presStyleIdx="2" presStyleCnt="4"/>
      <dgm:spPr/>
    </dgm:pt>
    <dgm:pt modelId="{619E83A7-F13D-41A7-8376-F69BD10B5C05}" type="pres">
      <dgm:prSet presAssocID="{189CAA3F-77FC-4B8C-A5E6-FB0F84F5471F}" presName="hierRoot2" presStyleCnt="0">
        <dgm:presLayoutVars>
          <dgm:hierBranch/>
        </dgm:presLayoutVars>
      </dgm:prSet>
      <dgm:spPr/>
    </dgm:pt>
    <dgm:pt modelId="{B0BC5125-981B-4432-A56B-213B8C1AEBA4}" type="pres">
      <dgm:prSet presAssocID="{189CAA3F-77FC-4B8C-A5E6-FB0F84F5471F}" presName="rootComposite" presStyleCnt="0"/>
      <dgm:spPr/>
    </dgm:pt>
    <dgm:pt modelId="{10BEF56E-2F18-4E81-951E-1733C8679DE7}" type="pres">
      <dgm:prSet presAssocID="{189CAA3F-77FC-4B8C-A5E6-FB0F84F5471F}" presName="rootText" presStyleLbl="node2" presStyleIdx="2" presStyleCnt="4">
        <dgm:presLayoutVars>
          <dgm:chPref val="3"/>
        </dgm:presLayoutVars>
      </dgm:prSet>
      <dgm:spPr/>
    </dgm:pt>
    <dgm:pt modelId="{060C90D5-B113-469B-8E26-EBA61FBB52F6}" type="pres">
      <dgm:prSet presAssocID="{189CAA3F-77FC-4B8C-A5E6-FB0F84F5471F}" presName="rootConnector" presStyleLbl="node2" presStyleIdx="2" presStyleCnt="4"/>
      <dgm:spPr/>
    </dgm:pt>
    <dgm:pt modelId="{5AFC426A-C23F-4CD0-8DFC-B781632010A3}" type="pres">
      <dgm:prSet presAssocID="{189CAA3F-77FC-4B8C-A5E6-FB0F84F5471F}" presName="hierChild4" presStyleCnt="0"/>
      <dgm:spPr/>
    </dgm:pt>
    <dgm:pt modelId="{E1F064D1-6956-4488-B1D8-7B491FBB1508}" type="pres">
      <dgm:prSet presAssocID="{189CAA3F-77FC-4B8C-A5E6-FB0F84F5471F}" presName="hierChild5" presStyleCnt="0"/>
      <dgm:spPr/>
    </dgm:pt>
    <dgm:pt modelId="{1C92B928-CD8F-4D1E-A3B4-1AF7B4A0E71F}" type="pres">
      <dgm:prSet presAssocID="{E60B3A91-9B78-4446-9E35-20B80C836A56}" presName="Name35" presStyleLbl="parChTrans1D2" presStyleIdx="3" presStyleCnt="4"/>
      <dgm:spPr/>
    </dgm:pt>
    <dgm:pt modelId="{687CB8AD-4243-4ACD-B7C2-912C14EADB33}" type="pres">
      <dgm:prSet presAssocID="{3A5E3C5D-59B9-4714-9763-27A78B314204}" presName="hierRoot2" presStyleCnt="0">
        <dgm:presLayoutVars>
          <dgm:hierBranch/>
        </dgm:presLayoutVars>
      </dgm:prSet>
      <dgm:spPr/>
    </dgm:pt>
    <dgm:pt modelId="{410D39CD-7D7E-4657-B31B-765E1DCF7190}" type="pres">
      <dgm:prSet presAssocID="{3A5E3C5D-59B9-4714-9763-27A78B314204}" presName="rootComposite" presStyleCnt="0"/>
      <dgm:spPr/>
    </dgm:pt>
    <dgm:pt modelId="{24B55F14-21E3-46DB-90D1-7CFDE4AB0265}" type="pres">
      <dgm:prSet presAssocID="{3A5E3C5D-59B9-4714-9763-27A78B314204}" presName="rootText" presStyleLbl="node2" presStyleIdx="3" presStyleCnt="4">
        <dgm:presLayoutVars>
          <dgm:chPref val="3"/>
        </dgm:presLayoutVars>
      </dgm:prSet>
      <dgm:spPr/>
    </dgm:pt>
    <dgm:pt modelId="{F6AE14C1-1171-4FF4-9EBC-44B4A0F579EE}" type="pres">
      <dgm:prSet presAssocID="{3A5E3C5D-59B9-4714-9763-27A78B314204}" presName="rootConnector" presStyleLbl="node2" presStyleIdx="3" presStyleCnt="4"/>
      <dgm:spPr/>
    </dgm:pt>
    <dgm:pt modelId="{DD61F1C7-894C-4080-9A17-18F6418829BD}" type="pres">
      <dgm:prSet presAssocID="{3A5E3C5D-59B9-4714-9763-27A78B314204}" presName="hierChild4" presStyleCnt="0"/>
      <dgm:spPr/>
    </dgm:pt>
    <dgm:pt modelId="{A9E60B27-C46D-4EC7-892E-6D502B8E0739}" type="pres">
      <dgm:prSet presAssocID="{3A5E3C5D-59B9-4714-9763-27A78B314204}" presName="hierChild5" presStyleCnt="0"/>
      <dgm:spPr/>
    </dgm:pt>
    <dgm:pt modelId="{05FF1767-C811-4EC8-958B-F504807BE944}" type="pres">
      <dgm:prSet presAssocID="{FBFBCA85-E22C-4E6D-91DA-6644F5B5FEA3}" presName="hierChild3" presStyleCnt="0"/>
      <dgm:spPr/>
    </dgm:pt>
  </dgm:ptLst>
  <dgm:cxnLst>
    <dgm:cxn modelId="{373DEE1C-810A-4A5C-AE6A-B54825A53B6F}" type="presOf" srcId="{562C1257-6630-4375-86C1-642F570B22A0}" destId="{22BEE65D-900C-4AB5-800D-AE7D0DFC0D54}" srcOrd="0" destOrd="0" presId="urn:microsoft.com/office/officeart/2005/8/layout/orgChart1"/>
    <dgm:cxn modelId="{224D52AD-714C-41AD-B500-B3BC6C5D2BDC}" srcId="{FBFBCA85-E22C-4E6D-91DA-6644F5B5FEA3}" destId="{4EE2387E-3A31-41A9-8CCB-0C4E132624E5}" srcOrd="0" destOrd="0" parTransId="{B2AC4A24-335C-46C4-941D-606F0B200B21}" sibTransId="{B616EDA8-851B-4CD3-A2B9-8EBD1D326F49}"/>
    <dgm:cxn modelId="{453EB7A7-CB6D-479F-9F84-128A138D2EC4}" type="presOf" srcId="{EDC1B8B6-D1B5-41E4-9003-DA8B9EA55EC4}" destId="{02CCC228-AEED-49FA-BD65-4996CF235C18}" srcOrd="0" destOrd="0" presId="urn:microsoft.com/office/officeart/2005/8/layout/orgChart1"/>
    <dgm:cxn modelId="{F0753F49-9D49-4C55-AD73-77D5D6C6465A}" type="presOf" srcId="{B2AC4A24-335C-46C4-941D-606F0B200B21}" destId="{C971C929-C96D-4CDE-97D8-5448D54DCCEC}" srcOrd="0" destOrd="0" presId="urn:microsoft.com/office/officeart/2005/8/layout/orgChart1"/>
    <dgm:cxn modelId="{769B8DCE-4312-4DFE-B9F9-2D94841D18DC}" srcId="{FBFBCA85-E22C-4E6D-91DA-6644F5B5FEA3}" destId="{189CAA3F-77FC-4B8C-A5E6-FB0F84F5471F}" srcOrd="2" destOrd="0" parTransId="{562C1257-6630-4375-86C1-642F570B22A0}" sibTransId="{5EA26EAF-C929-4490-B386-22C80CFB2698}"/>
    <dgm:cxn modelId="{8A7657CF-15CB-418F-B14B-A83A32C26FC7}" type="presOf" srcId="{189CAA3F-77FC-4B8C-A5E6-FB0F84F5471F}" destId="{060C90D5-B113-469B-8E26-EBA61FBB52F6}" srcOrd="1" destOrd="0" presId="urn:microsoft.com/office/officeart/2005/8/layout/orgChart1"/>
    <dgm:cxn modelId="{1F97FFE6-146F-4242-A956-DB67E8240599}" type="presOf" srcId="{F02AD064-232F-40D8-9B08-6B7356BF318B}" destId="{EF261BE6-97BA-48D8-B3C0-539119DAA113}" srcOrd="0" destOrd="0" presId="urn:microsoft.com/office/officeart/2005/8/layout/orgChart1"/>
    <dgm:cxn modelId="{419698CF-7D3A-4C69-83F6-441E5E00930D}" type="presOf" srcId="{E60B3A91-9B78-4446-9E35-20B80C836A56}" destId="{1C92B928-CD8F-4D1E-A3B4-1AF7B4A0E71F}" srcOrd="0" destOrd="0" presId="urn:microsoft.com/office/officeart/2005/8/layout/orgChart1"/>
    <dgm:cxn modelId="{5C39C997-6699-4996-B38E-876808970356}" type="presOf" srcId="{282A9E92-ECB5-44F4-BA0D-10B626796EC4}" destId="{0CD12527-9BC4-4276-988B-1A55450850A4}" srcOrd="0" destOrd="0" presId="urn:microsoft.com/office/officeart/2005/8/layout/orgChart1"/>
    <dgm:cxn modelId="{219925BA-9E7D-4B00-8486-6EC988E41062}" type="presOf" srcId="{3A5E3C5D-59B9-4714-9763-27A78B314204}" destId="{F6AE14C1-1171-4FF4-9EBC-44B4A0F579EE}" srcOrd="1" destOrd="0" presId="urn:microsoft.com/office/officeart/2005/8/layout/orgChart1"/>
    <dgm:cxn modelId="{12ADA71A-A066-4E1A-9910-00088FB33BB0}" srcId="{FBFBCA85-E22C-4E6D-91DA-6644F5B5FEA3}" destId="{F02AD064-232F-40D8-9B08-6B7356BF318B}" srcOrd="1" destOrd="0" parTransId="{282A9E92-ECB5-44F4-BA0D-10B626796EC4}" sibTransId="{B206CBF5-5CB3-4E24-8831-AE2EB91DD290}"/>
    <dgm:cxn modelId="{53F01B13-94D0-47BE-A217-EFA3F0C5D3BC}" type="presOf" srcId="{F02AD064-232F-40D8-9B08-6B7356BF318B}" destId="{EAC289A0-A2D1-4D13-A852-FD947A9637C0}" srcOrd="1" destOrd="0" presId="urn:microsoft.com/office/officeart/2005/8/layout/orgChart1"/>
    <dgm:cxn modelId="{D01C0902-0641-426B-93AD-ACD9CD656F4D}" type="presOf" srcId="{3A5E3C5D-59B9-4714-9763-27A78B314204}" destId="{24B55F14-21E3-46DB-90D1-7CFDE4AB0265}" srcOrd="0" destOrd="0" presId="urn:microsoft.com/office/officeart/2005/8/layout/orgChart1"/>
    <dgm:cxn modelId="{C3C61FE5-C026-4065-BDB1-BD107333A92A}" type="presOf" srcId="{FBFBCA85-E22C-4E6D-91DA-6644F5B5FEA3}" destId="{706F8C94-CB5D-4C1C-80C4-0BFD79BB4148}" srcOrd="0" destOrd="0" presId="urn:microsoft.com/office/officeart/2005/8/layout/orgChart1"/>
    <dgm:cxn modelId="{48745CE5-FE3A-4384-A7A3-2BB1467DE805}" type="presOf" srcId="{FBFBCA85-E22C-4E6D-91DA-6644F5B5FEA3}" destId="{1C86C879-D4A0-486F-A9B0-BD3655E131EB}" srcOrd="1" destOrd="0" presId="urn:microsoft.com/office/officeart/2005/8/layout/orgChart1"/>
    <dgm:cxn modelId="{63807102-F9FC-4CAD-BF87-566DE4F55456}" type="presOf" srcId="{4EE2387E-3A31-41A9-8CCB-0C4E132624E5}" destId="{BAE27A33-B793-4A00-A575-54CF3D221260}" srcOrd="0" destOrd="0" presId="urn:microsoft.com/office/officeart/2005/8/layout/orgChart1"/>
    <dgm:cxn modelId="{3AEF309C-875B-40E2-A39E-BFF8B3A01A1D}" type="presOf" srcId="{189CAA3F-77FC-4B8C-A5E6-FB0F84F5471F}" destId="{10BEF56E-2F18-4E81-951E-1733C8679DE7}" srcOrd="0" destOrd="0" presId="urn:microsoft.com/office/officeart/2005/8/layout/orgChart1"/>
    <dgm:cxn modelId="{3044C44D-9F5E-4A63-AA96-6AFACA3D98C5}" srcId="{EDC1B8B6-D1B5-41E4-9003-DA8B9EA55EC4}" destId="{FBFBCA85-E22C-4E6D-91DA-6644F5B5FEA3}" srcOrd="0" destOrd="0" parTransId="{02DB481A-367C-426D-9156-519E2E244489}" sibTransId="{AAC371D1-8A4E-44F3-ABA6-EBF34EDEE6A4}"/>
    <dgm:cxn modelId="{0EF739B3-3C05-4423-88A6-54BFFB5501BE}" srcId="{FBFBCA85-E22C-4E6D-91DA-6644F5B5FEA3}" destId="{3A5E3C5D-59B9-4714-9763-27A78B314204}" srcOrd="3" destOrd="0" parTransId="{E60B3A91-9B78-4446-9E35-20B80C836A56}" sibTransId="{6DFF736F-6704-44DF-8D3D-5A786900ADDD}"/>
    <dgm:cxn modelId="{104A5134-AF28-4324-B22C-C19373A5162D}" type="presOf" srcId="{4EE2387E-3A31-41A9-8CCB-0C4E132624E5}" destId="{826D5FC4-5DDD-476D-B5E8-E6C48F17B7CB}" srcOrd="1" destOrd="0" presId="urn:microsoft.com/office/officeart/2005/8/layout/orgChart1"/>
    <dgm:cxn modelId="{CE476932-F65A-4A12-98B3-E1AB70218E22}" type="presParOf" srcId="{02CCC228-AEED-49FA-BD65-4996CF235C18}" destId="{C592688C-54CD-4FF6-875F-B28ECC181598}" srcOrd="0" destOrd="0" presId="urn:microsoft.com/office/officeart/2005/8/layout/orgChart1"/>
    <dgm:cxn modelId="{82022C85-413B-4E6B-B52D-595BA98938E6}" type="presParOf" srcId="{C592688C-54CD-4FF6-875F-B28ECC181598}" destId="{B6126487-58C1-48ED-96B6-B42C0DBBB5D6}" srcOrd="0" destOrd="0" presId="urn:microsoft.com/office/officeart/2005/8/layout/orgChart1"/>
    <dgm:cxn modelId="{201AA228-98E6-46D7-8A99-6F0A19793395}" type="presParOf" srcId="{B6126487-58C1-48ED-96B6-B42C0DBBB5D6}" destId="{706F8C94-CB5D-4C1C-80C4-0BFD79BB4148}" srcOrd="0" destOrd="0" presId="urn:microsoft.com/office/officeart/2005/8/layout/orgChart1"/>
    <dgm:cxn modelId="{11286819-DD1D-4310-BB36-A6B2EC0BA94F}" type="presParOf" srcId="{B6126487-58C1-48ED-96B6-B42C0DBBB5D6}" destId="{1C86C879-D4A0-486F-A9B0-BD3655E131EB}" srcOrd="1" destOrd="0" presId="urn:microsoft.com/office/officeart/2005/8/layout/orgChart1"/>
    <dgm:cxn modelId="{297720A7-E2A8-4C04-9CCE-CE643FAC2BC4}" type="presParOf" srcId="{C592688C-54CD-4FF6-875F-B28ECC181598}" destId="{AB324ED4-9E00-4EC2-83F8-4915F89B5CC9}" srcOrd="1" destOrd="0" presId="urn:microsoft.com/office/officeart/2005/8/layout/orgChart1"/>
    <dgm:cxn modelId="{A8363D06-7987-4890-B363-5A84D2F850E7}" type="presParOf" srcId="{AB324ED4-9E00-4EC2-83F8-4915F89B5CC9}" destId="{C971C929-C96D-4CDE-97D8-5448D54DCCEC}" srcOrd="0" destOrd="0" presId="urn:microsoft.com/office/officeart/2005/8/layout/orgChart1"/>
    <dgm:cxn modelId="{3B19F475-4C5E-44D7-B446-F5411DD00169}" type="presParOf" srcId="{AB324ED4-9E00-4EC2-83F8-4915F89B5CC9}" destId="{10719908-C222-4452-B3AE-6740BA930053}" srcOrd="1" destOrd="0" presId="urn:microsoft.com/office/officeart/2005/8/layout/orgChart1"/>
    <dgm:cxn modelId="{71C0C250-169E-4AAA-94CA-0EF83F36F96C}" type="presParOf" srcId="{10719908-C222-4452-B3AE-6740BA930053}" destId="{214D7563-F4B9-47FB-B6BB-5912545F813D}" srcOrd="0" destOrd="0" presId="urn:microsoft.com/office/officeart/2005/8/layout/orgChart1"/>
    <dgm:cxn modelId="{6159DE02-A4B6-47A8-95D1-F7F472D10D24}" type="presParOf" srcId="{214D7563-F4B9-47FB-B6BB-5912545F813D}" destId="{BAE27A33-B793-4A00-A575-54CF3D221260}" srcOrd="0" destOrd="0" presId="urn:microsoft.com/office/officeart/2005/8/layout/orgChart1"/>
    <dgm:cxn modelId="{7BB14499-E118-46C6-8601-A4896EA67533}" type="presParOf" srcId="{214D7563-F4B9-47FB-B6BB-5912545F813D}" destId="{826D5FC4-5DDD-476D-B5E8-E6C48F17B7CB}" srcOrd="1" destOrd="0" presId="urn:microsoft.com/office/officeart/2005/8/layout/orgChart1"/>
    <dgm:cxn modelId="{1F002288-491A-4967-B7E0-F7ECC81AB9EF}" type="presParOf" srcId="{10719908-C222-4452-B3AE-6740BA930053}" destId="{86EC139E-5360-4C19-BD23-B7EFB45CE3D7}" srcOrd="1" destOrd="0" presId="urn:microsoft.com/office/officeart/2005/8/layout/orgChart1"/>
    <dgm:cxn modelId="{73629216-9386-4F64-905F-47C62F80E6A1}" type="presParOf" srcId="{10719908-C222-4452-B3AE-6740BA930053}" destId="{41917640-7829-4188-B912-83BC65EB4B7E}" srcOrd="2" destOrd="0" presId="urn:microsoft.com/office/officeart/2005/8/layout/orgChart1"/>
    <dgm:cxn modelId="{DE492CFA-0C52-40F5-B9FE-9FF232B46EB4}" type="presParOf" srcId="{AB324ED4-9E00-4EC2-83F8-4915F89B5CC9}" destId="{0CD12527-9BC4-4276-988B-1A55450850A4}" srcOrd="2" destOrd="0" presId="urn:microsoft.com/office/officeart/2005/8/layout/orgChart1"/>
    <dgm:cxn modelId="{E05059AA-1349-4051-BE04-C71480DFB25E}" type="presParOf" srcId="{AB324ED4-9E00-4EC2-83F8-4915F89B5CC9}" destId="{C0B77A58-AF1C-453F-A568-F93788B51E3F}" srcOrd="3" destOrd="0" presId="urn:microsoft.com/office/officeart/2005/8/layout/orgChart1"/>
    <dgm:cxn modelId="{9FD26A5F-FF65-4882-B62A-72097DF26CEF}" type="presParOf" srcId="{C0B77A58-AF1C-453F-A568-F93788B51E3F}" destId="{77882EFA-22A6-4E9F-81A0-4D0AE4C12E34}" srcOrd="0" destOrd="0" presId="urn:microsoft.com/office/officeart/2005/8/layout/orgChart1"/>
    <dgm:cxn modelId="{62726060-D004-444A-928C-AB72383D2EC4}" type="presParOf" srcId="{77882EFA-22A6-4E9F-81A0-4D0AE4C12E34}" destId="{EF261BE6-97BA-48D8-B3C0-539119DAA113}" srcOrd="0" destOrd="0" presId="urn:microsoft.com/office/officeart/2005/8/layout/orgChart1"/>
    <dgm:cxn modelId="{7DB18BC5-7E10-4104-BE49-E3E045407283}" type="presParOf" srcId="{77882EFA-22A6-4E9F-81A0-4D0AE4C12E34}" destId="{EAC289A0-A2D1-4D13-A852-FD947A9637C0}" srcOrd="1" destOrd="0" presId="urn:microsoft.com/office/officeart/2005/8/layout/orgChart1"/>
    <dgm:cxn modelId="{AD6C5A0A-6166-4340-A4CE-EA074C814430}" type="presParOf" srcId="{C0B77A58-AF1C-453F-A568-F93788B51E3F}" destId="{5D8E7B9B-A579-4100-9AC6-57CBF94FF9B3}" srcOrd="1" destOrd="0" presId="urn:microsoft.com/office/officeart/2005/8/layout/orgChart1"/>
    <dgm:cxn modelId="{BDEE1BBE-4D42-4541-8AD4-F93B07EF6CF0}" type="presParOf" srcId="{C0B77A58-AF1C-453F-A568-F93788B51E3F}" destId="{81EF97A2-5DB4-437A-973D-8F00A9C09002}" srcOrd="2" destOrd="0" presId="urn:microsoft.com/office/officeart/2005/8/layout/orgChart1"/>
    <dgm:cxn modelId="{1E1E7863-1518-4A7C-9C65-5B31CBC348C2}" type="presParOf" srcId="{AB324ED4-9E00-4EC2-83F8-4915F89B5CC9}" destId="{22BEE65D-900C-4AB5-800D-AE7D0DFC0D54}" srcOrd="4" destOrd="0" presId="urn:microsoft.com/office/officeart/2005/8/layout/orgChart1"/>
    <dgm:cxn modelId="{BA67FB09-00F6-45F7-A027-D0BFB6986B46}" type="presParOf" srcId="{AB324ED4-9E00-4EC2-83F8-4915F89B5CC9}" destId="{619E83A7-F13D-41A7-8376-F69BD10B5C05}" srcOrd="5" destOrd="0" presId="urn:microsoft.com/office/officeart/2005/8/layout/orgChart1"/>
    <dgm:cxn modelId="{037A8C60-83E1-469F-AA0D-401FC8A2176C}" type="presParOf" srcId="{619E83A7-F13D-41A7-8376-F69BD10B5C05}" destId="{B0BC5125-981B-4432-A56B-213B8C1AEBA4}" srcOrd="0" destOrd="0" presId="urn:microsoft.com/office/officeart/2005/8/layout/orgChart1"/>
    <dgm:cxn modelId="{C3344267-8EBF-470C-B780-C7E1AE67A3FE}" type="presParOf" srcId="{B0BC5125-981B-4432-A56B-213B8C1AEBA4}" destId="{10BEF56E-2F18-4E81-951E-1733C8679DE7}" srcOrd="0" destOrd="0" presId="urn:microsoft.com/office/officeart/2005/8/layout/orgChart1"/>
    <dgm:cxn modelId="{95D711F0-B8F3-4A78-AB9D-FF557EEA1E93}" type="presParOf" srcId="{B0BC5125-981B-4432-A56B-213B8C1AEBA4}" destId="{060C90D5-B113-469B-8E26-EBA61FBB52F6}" srcOrd="1" destOrd="0" presId="urn:microsoft.com/office/officeart/2005/8/layout/orgChart1"/>
    <dgm:cxn modelId="{222D4B36-EE43-4184-89EB-58EE7BA19F85}" type="presParOf" srcId="{619E83A7-F13D-41A7-8376-F69BD10B5C05}" destId="{5AFC426A-C23F-4CD0-8DFC-B781632010A3}" srcOrd="1" destOrd="0" presId="urn:microsoft.com/office/officeart/2005/8/layout/orgChart1"/>
    <dgm:cxn modelId="{4171B797-1058-4E67-A384-DB75067A6323}" type="presParOf" srcId="{619E83A7-F13D-41A7-8376-F69BD10B5C05}" destId="{E1F064D1-6956-4488-B1D8-7B491FBB1508}" srcOrd="2" destOrd="0" presId="urn:microsoft.com/office/officeart/2005/8/layout/orgChart1"/>
    <dgm:cxn modelId="{248CC7C2-39D3-4B79-90F6-7FC1210B1460}" type="presParOf" srcId="{AB324ED4-9E00-4EC2-83F8-4915F89B5CC9}" destId="{1C92B928-CD8F-4D1E-A3B4-1AF7B4A0E71F}" srcOrd="6" destOrd="0" presId="urn:microsoft.com/office/officeart/2005/8/layout/orgChart1"/>
    <dgm:cxn modelId="{AAB36C6A-7F16-4F74-80C4-634AFE9331E4}" type="presParOf" srcId="{AB324ED4-9E00-4EC2-83F8-4915F89B5CC9}" destId="{687CB8AD-4243-4ACD-B7C2-912C14EADB33}" srcOrd="7" destOrd="0" presId="urn:microsoft.com/office/officeart/2005/8/layout/orgChart1"/>
    <dgm:cxn modelId="{1284C747-4E43-4DB5-8373-F4B71D23996B}" type="presParOf" srcId="{687CB8AD-4243-4ACD-B7C2-912C14EADB33}" destId="{410D39CD-7D7E-4657-B31B-765E1DCF7190}" srcOrd="0" destOrd="0" presId="urn:microsoft.com/office/officeart/2005/8/layout/orgChart1"/>
    <dgm:cxn modelId="{6482F396-2D36-4CBE-8595-915B51633EBF}" type="presParOf" srcId="{410D39CD-7D7E-4657-B31B-765E1DCF7190}" destId="{24B55F14-21E3-46DB-90D1-7CFDE4AB0265}" srcOrd="0" destOrd="0" presId="urn:microsoft.com/office/officeart/2005/8/layout/orgChart1"/>
    <dgm:cxn modelId="{B405E6E8-9060-4C00-9B5E-3E855929328E}" type="presParOf" srcId="{410D39CD-7D7E-4657-B31B-765E1DCF7190}" destId="{F6AE14C1-1171-4FF4-9EBC-44B4A0F579EE}" srcOrd="1" destOrd="0" presId="urn:microsoft.com/office/officeart/2005/8/layout/orgChart1"/>
    <dgm:cxn modelId="{559DFDC6-EEFF-4A9C-9101-C4E5DC4011C2}" type="presParOf" srcId="{687CB8AD-4243-4ACD-B7C2-912C14EADB33}" destId="{DD61F1C7-894C-4080-9A17-18F6418829BD}" srcOrd="1" destOrd="0" presId="urn:microsoft.com/office/officeart/2005/8/layout/orgChart1"/>
    <dgm:cxn modelId="{36E91181-270F-42A6-9339-732ADDC08F10}" type="presParOf" srcId="{687CB8AD-4243-4ACD-B7C2-912C14EADB33}" destId="{A9E60B27-C46D-4EC7-892E-6D502B8E0739}" srcOrd="2" destOrd="0" presId="urn:microsoft.com/office/officeart/2005/8/layout/orgChart1"/>
    <dgm:cxn modelId="{C7300BA1-9527-48B3-8A54-C1ECDFBEA4F2}" type="presParOf" srcId="{C592688C-54CD-4FF6-875F-B28ECC181598}" destId="{05FF1767-C811-4EC8-958B-F504807BE944}"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6B8E7-18E5-4EA9-9D76-BAC477D8F0CE}">
      <dsp:nvSpPr>
        <dsp:cNvPr id="0" name=""/>
        <dsp:cNvSpPr/>
      </dsp:nvSpPr>
      <dsp:spPr>
        <a:xfrm>
          <a:off x="-356735" y="138698"/>
          <a:ext cx="3234158" cy="3805504"/>
        </a:xfrm>
        <a:prstGeom prst="pie">
          <a:avLst>
            <a:gd name="adj1" fmla="val 5400000"/>
            <a:gd name="adj2" fmla="val 162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95B86B-B96E-4599-A646-F862A97B5A09}">
      <dsp:nvSpPr>
        <dsp:cNvPr id="0" name=""/>
        <dsp:cNvSpPr/>
      </dsp:nvSpPr>
      <dsp:spPr>
        <a:xfrm>
          <a:off x="981939" y="128058"/>
          <a:ext cx="4329993" cy="3826785"/>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marR="0" lvl="0" indent="0" algn="l" defTabSz="914400" eaLnBrk="1" fontAlgn="auto" latinLnBrk="0" hangingPunct="1">
            <a:lnSpc>
              <a:spcPct val="100000"/>
            </a:lnSpc>
            <a:spcBef>
              <a:spcPct val="0"/>
            </a:spcBef>
            <a:spcAft>
              <a:spcPts val="0"/>
            </a:spcAft>
            <a:buClrTx/>
            <a:buSzTx/>
            <a:buFontTx/>
            <a:buNone/>
            <a:tabLst/>
            <a:defRPr/>
          </a:pPr>
          <a:r>
            <a:rPr lang="es-PE" sz="1000" b="1" kern="1200" dirty="0" smtClean="0">
              <a:latin typeface="+mj-lt"/>
            </a:rPr>
            <a:t>Elementos comunes</a:t>
          </a:r>
        </a:p>
        <a:p>
          <a:pPr lvl="0" algn="l" defTabSz="711200">
            <a:lnSpc>
              <a:spcPct val="90000"/>
            </a:lnSpc>
            <a:spcBef>
              <a:spcPct val="0"/>
            </a:spcBef>
            <a:spcAft>
              <a:spcPct val="35000"/>
            </a:spcAft>
          </a:pPr>
          <a:r>
            <a:rPr lang="es-PE" sz="1000" b="1" kern="1200" dirty="0" smtClean="0">
              <a:latin typeface="+mj-lt"/>
            </a:rPr>
            <a:t>de éxito</a:t>
          </a:r>
          <a:endParaRPr lang="es-PE" sz="1000" b="1" kern="1200" dirty="0">
            <a:latin typeface="+mj-lt"/>
          </a:endParaRPr>
        </a:p>
      </dsp:txBody>
      <dsp:txXfrm>
        <a:off x="981939" y="128058"/>
        <a:ext cx="2164996" cy="1148038"/>
      </dsp:txXfrm>
    </dsp:sp>
    <dsp:sp modelId="{8438D216-AF77-4A1A-AAA2-8619E35D6B29}">
      <dsp:nvSpPr>
        <dsp:cNvPr id="0" name=""/>
        <dsp:cNvSpPr/>
      </dsp:nvSpPr>
      <dsp:spPr>
        <a:xfrm>
          <a:off x="209243" y="1365642"/>
          <a:ext cx="2102200" cy="2160158"/>
        </a:xfrm>
        <a:prstGeom prst="pie">
          <a:avLst>
            <a:gd name="adj1" fmla="val 5400000"/>
            <a:gd name="adj2" fmla="val 1620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2BAA05-3C9F-4B0E-B021-A618FD2ABAEA}">
      <dsp:nvSpPr>
        <dsp:cNvPr id="0" name=""/>
        <dsp:cNvSpPr/>
      </dsp:nvSpPr>
      <dsp:spPr>
        <a:xfrm>
          <a:off x="981939" y="1365642"/>
          <a:ext cx="4329993" cy="2160158"/>
        </a:xfrm>
        <a:prstGeom prst="rect">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s-PE" sz="1000" b="1" kern="1200" dirty="0" smtClean="0">
              <a:latin typeface="+mj-lt"/>
            </a:rPr>
            <a:t>Elementos diferenciados</a:t>
          </a:r>
        </a:p>
        <a:p>
          <a:pPr lvl="0" algn="l" defTabSz="444500">
            <a:lnSpc>
              <a:spcPct val="90000"/>
            </a:lnSpc>
            <a:spcBef>
              <a:spcPct val="0"/>
            </a:spcBef>
            <a:spcAft>
              <a:spcPct val="35000"/>
            </a:spcAft>
          </a:pPr>
          <a:r>
            <a:rPr lang="es-PE" sz="1000" b="1" kern="1200" dirty="0" smtClean="0">
              <a:latin typeface="+mj-lt"/>
            </a:rPr>
            <a:t> caso Brasil</a:t>
          </a:r>
        </a:p>
      </dsp:txBody>
      <dsp:txXfrm>
        <a:off x="981939" y="1365642"/>
        <a:ext cx="2164996" cy="996996"/>
      </dsp:txXfrm>
    </dsp:sp>
    <dsp:sp modelId="{8DB888D0-4E7C-49A3-A5A9-0268823A1B47}">
      <dsp:nvSpPr>
        <dsp:cNvPr id="0" name=""/>
        <dsp:cNvSpPr/>
      </dsp:nvSpPr>
      <dsp:spPr>
        <a:xfrm>
          <a:off x="690216" y="2425246"/>
          <a:ext cx="970246" cy="957895"/>
        </a:xfrm>
        <a:prstGeom prst="pie">
          <a:avLst>
            <a:gd name="adj1" fmla="val 5400000"/>
            <a:gd name="adj2" fmla="val 1620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C5C2DA-4996-42C6-9CDD-711C45D77646}">
      <dsp:nvSpPr>
        <dsp:cNvPr id="0" name=""/>
        <dsp:cNvSpPr/>
      </dsp:nvSpPr>
      <dsp:spPr>
        <a:xfrm>
          <a:off x="990541" y="2341222"/>
          <a:ext cx="4324560" cy="1347439"/>
        </a:xfrm>
        <a:prstGeom prst="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s-PE" sz="1000" b="1" kern="1200" dirty="0" smtClean="0">
              <a:latin typeface="+mj-lt"/>
            </a:rPr>
            <a:t>Elementos diferenciados </a:t>
          </a:r>
        </a:p>
        <a:p>
          <a:pPr lvl="0" algn="l" defTabSz="444500">
            <a:lnSpc>
              <a:spcPct val="90000"/>
            </a:lnSpc>
            <a:spcBef>
              <a:spcPct val="0"/>
            </a:spcBef>
            <a:spcAft>
              <a:spcPct val="35000"/>
            </a:spcAft>
          </a:pPr>
          <a:r>
            <a:rPr lang="es-PE" sz="1000" b="1" kern="1200" dirty="0" smtClean="0">
              <a:latin typeface="+mj-lt"/>
            </a:rPr>
            <a:t>caso Chile</a:t>
          </a:r>
        </a:p>
      </dsp:txBody>
      <dsp:txXfrm>
        <a:off x="990541" y="2341222"/>
        <a:ext cx="2162280" cy="1347439"/>
      </dsp:txXfrm>
    </dsp:sp>
    <dsp:sp modelId="{FB069448-E456-418E-B0D3-D8945D9753C9}">
      <dsp:nvSpPr>
        <dsp:cNvPr id="0" name=""/>
        <dsp:cNvSpPr/>
      </dsp:nvSpPr>
      <dsp:spPr>
        <a:xfrm>
          <a:off x="1929027" y="192064"/>
          <a:ext cx="3313535" cy="113717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00050">
            <a:lnSpc>
              <a:spcPct val="90000"/>
            </a:lnSpc>
            <a:spcBef>
              <a:spcPct val="0"/>
            </a:spcBef>
            <a:spcAft>
              <a:spcPct val="15000"/>
            </a:spcAft>
            <a:buChar char="••"/>
          </a:pPr>
          <a:r>
            <a:rPr lang="es-PE" sz="900" kern="1200" dirty="0" smtClean="0">
              <a:latin typeface="+mj-lt"/>
            </a:rPr>
            <a:t>Fuerte apuesta hacia el desarrollo e innovación tecnológica. </a:t>
          </a:r>
        </a:p>
        <a:p>
          <a:pPr marL="57150" lvl="1" indent="-57150" algn="l" defTabSz="400050">
            <a:lnSpc>
              <a:spcPct val="90000"/>
            </a:lnSpc>
            <a:spcBef>
              <a:spcPct val="0"/>
            </a:spcBef>
            <a:spcAft>
              <a:spcPct val="15000"/>
            </a:spcAft>
            <a:buChar char="••"/>
          </a:pPr>
          <a:r>
            <a:rPr lang="es-PE" sz="900" kern="1200" dirty="0" smtClean="0">
              <a:latin typeface="+mj-lt"/>
            </a:rPr>
            <a:t>Políticas definidas para el ordenamiento y fomento de la acuicultura</a:t>
          </a:r>
        </a:p>
        <a:p>
          <a:pPr marL="57150" lvl="1" indent="-57150" algn="l" defTabSz="400050">
            <a:lnSpc>
              <a:spcPct val="90000"/>
            </a:lnSpc>
            <a:spcBef>
              <a:spcPct val="0"/>
            </a:spcBef>
            <a:spcAft>
              <a:spcPct val="15000"/>
            </a:spcAft>
            <a:buChar char="••"/>
          </a:pPr>
          <a:r>
            <a:rPr lang="es-PE" sz="900" kern="1200" dirty="0" smtClean="0">
              <a:latin typeface="+mj-lt"/>
            </a:rPr>
            <a:t>Aplicación de planes y estrategias de desarrollo acuícola</a:t>
          </a:r>
        </a:p>
        <a:p>
          <a:pPr marL="57150" lvl="1" indent="-57150" algn="l" defTabSz="400050">
            <a:lnSpc>
              <a:spcPct val="90000"/>
            </a:lnSpc>
            <a:spcBef>
              <a:spcPct val="0"/>
            </a:spcBef>
            <a:spcAft>
              <a:spcPct val="15000"/>
            </a:spcAft>
            <a:buChar char="••"/>
          </a:pPr>
          <a:r>
            <a:rPr lang="es-PE" sz="900" kern="1200" dirty="0" smtClean="0">
              <a:latin typeface="+mj-lt"/>
            </a:rPr>
            <a:t>Activa participación del sector privado  en los negocios acuícolas</a:t>
          </a:r>
        </a:p>
        <a:p>
          <a:pPr marL="57150" lvl="1" indent="-57150" algn="l" defTabSz="400050">
            <a:lnSpc>
              <a:spcPct val="90000"/>
            </a:lnSpc>
            <a:spcBef>
              <a:spcPct val="0"/>
            </a:spcBef>
            <a:spcAft>
              <a:spcPct val="15000"/>
            </a:spcAft>
            <a:buChar char="••"/>
          </a:pPr>
          <a:r>
            <a:rPr lang="es-PE" sz="900" kern="1200" dirty="0" smtClean="0">
              <a:latin typeface="+mj-lt"/>
            </a:rPr>
            <a:t>Adecuado soporte de especialistas nacionales en acuicultura</a:t>
          </a:r>
        </a:p>
      </dsp:txBody>
      <dsp:txXfrm>
        <a:off x="1929027" y="192064"/>
        <a:ext cx="3313535" cy="1137171"/>
      </dsp:txXfrm>
    </dsp:sp>
    <dsp:sp modelId="{BF273711-1B6F-4BE4-9E79-FF2E80210F54}">
      <dsp:nvSpPr>
        <dsp:cNvPr id="0" name=""/>
        <dsp:cNvSpPr/>
      </dsp:nvSpPr>
      <dsp:spPr>
        <a:xfrm>
          <a:off x="2355000" y="1383987"/>
          <a:ext cx="3138950" cy="97024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00050">
            <a:lnSpc>
              <a:spcPct val="90000"/>
            </a:lnSpc>
            <a:spcBef>
              <a:spcPct val="0"/>
            </a:spcBef>
            <a:spcAft>
              <a:spcPct val="15000"/>
            </a:spcAft>
            <a:buChar char="••"/>
          </a:pPr>
          <a:r>
            <a:rPr lang="es-PE" sz="900" kern="1200" dirty="0" smtClean="0">
              <a:latin typeface="+mj-lt"/>
            </a:rPr>
            <a:t>Principalmente orientado al consumo interno</a:t>
          </a:r>
        </a:p>
        <a:p>
          <a:pPr marL="57150" lvl="1" indent="-57150" algn="l" defTabSz="400050">
            <a:lnSpc>
              <a:spcPct val="90000"/>
            </a:lnSpc>
            <a:spcBef>
              <a:spcPct val="0"/>
            </a:spcBef>
            <a:spcAft>
              <a:spcPct val="15000"/>
            </a:spcAft>
            <a:buChar char="••"/>
          </a:pPr>
          <a:r>
            <a:rPr lang="es-PE" sz="900" kern="1200" dirty="0" smtClean="0">
              <a:latin typeface="+mj-lt"/>
            </a:rPr>
            <a:t>Diversificación hacia especies amazónicas con demanda</a:t>
          </a:r>
        </a:p>
        <a:p>
          <a:pPr marL="57150" lvl="1" indent="-57150" algn="l" defTabSz="400050">
            <a:lnSpc>
              <a:spcPct val="90000"/>
            </a:lnSpc>
            <a:spcBef>
              <a:spcPct val="0"/>
            </a:spcBef>
            <a:spcAft>
              <a:spcPct val="15000"/>
            </a:spcAft>
            <a:buChar char="••"/>
          </a:pPr>
          <a:r>
            <a:rPr lang="es-PE" sz="900" kern="1200" dirty="0" smtClean="0">
              <a:latin typeface="+mj-lt"/>
            </a:rPr>
            <a:t>Condiciones ambientales favorables en el ámbito continental</a:t>
          </a:r>
        </a:p>
        <a:p>
          <a:pPr marL="57150" lvl="1" indent="-57150" algn="l" defTabSz="400050">
            <a:lnSpc>
              <a:spcPct val="90000"/>
            </a:lnSpc>
            <a:spcBef>
              <a:spcPct val="0"/>
            </a:spcBef>
            <a:spcAft>
              <a:spcPct val="15000"/>
            </a:spcAft>
            <a:buChar char="••"/>
          </a:pPr>
          <a:r>
            <a:rPr lang="es-PE" sz="900" kern="1200" dirty="0" smtClean="0">
              <a:latin typeface="+mj-lt"/>
            </a:rPr>
            <a:t>Soporte exclusivo en I+DT+i a través del INPA</a:t>
          </a:r>
        </a:p>
      </dsp:txBody>
      <dsp:txXfrm>
        <a:off x="2355000" y="1383987"/>
        <a:ext cx="3138950" cy="970246"/>
      </dsp:txXfrm>
    </dsp:sp>
    <dsp:sp modelId="{7B1DF0DE-F581-47B4-BAED-59C741FE4D91}">
      <dsp:nvSpPr>
        <dsp:cNvPr id="0" name=""/>
        <dsp:cNvSpPr/>
      </dsp:nvSpPr>
      <dsp:spPr>
        <a:xfrm>
          <a:off x="2342794" y="2493139"/>
          <a:ext cx="2879468" cy="114096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00050">
            <a:lnSpc>
              <a:spcPct val="90000"/>
            </a:lnSpc>
            <a:spcBef>
              <a:spcPct val="0"/>
            </a:spcBef>
            <a:spcAft>
              <a:spcPct val="15000"/>
            </a:spcAft>
            <a:buChar char="••"/>
          </a:pPr>
          <a:r>
            <a:rPr lang="es-PE" sz="900" kern="1200" dirty="0" smtClean="0">
              <a:latin typeface="+mj-lt"/>
            </a:rPr>
            <a:t>Principalmente orientado a la exportación </a:t>
          </a:r>
          <a:endParaRPr lang="es-PE" sz="900" kern="1200" dirty="0">
            <a:latin typeface="+mj-lt"/>
          </a:endParaRPr>
        </a:p>
        <a:p>
          <a:pPr marL="57150" lvl="1" indent="-57150" algn="l" defTabSz="400050">
            <a:lnSpc>
              <a:spcPct val="90000"/>
            </a:lnSpc>
            <a:spcBef>
              <a:spcPct val="0"/>
            </a:spcBef>
            <a:spcAft>
              <a:spcPct val="15000"/>
            </a:spcAft>
            <a:buChar char="••"/>
          </a:pPr>
          <a:r>
            <a:rPr lang="es-PE" sz="900" kern="1200" dirty="0" smtClean="0">
              <a:latin typeface="+mj-lt"/>
            </a:rPr>
            <a:t>Gran apertura  al cultivo de especies introducidas de alto valor </a:t>
          </a:r>
          <a:endParaRPr lang="es-PE" sz="900" kern="1200" dirty="0">
            <a:latin typeface="+mj-lt"/>
          </a:endParaRPr>
        </a:p>
        <a:p>
          <a:pPr marL="57150" lvl="1" indent="-57150" algn="l" defTabSz="400050">
            <a:lnSpc>
              <a:spcPct val="90000"/>
            </a:lnSpc>
            <a:spcBef>
              <a:spcPct val="0"/>
            </a:spcBef>
            <a:spcAft>
              <a:spcPct val="15000"/>
            </a:spcAft>
            <a:buChar char="••"/>
          </a:pPr>
          <a:r>
            <a:rPr lang="es-PE" sz="900" kern="1200" dirty="0" smtClean="0">
              <a:latin typeface="+mj-lt"/>
            </a:rPr>
            <a:t>Buenas condiciones ambientales en la zona marina costera de las regiones del sur</a:t>
          </a:r>
          <a:endParaRPr lang="es-PE" sz="900" kern="1200" dirty="0">
            <a:latin typeface="+mj-lt"/>
          </a:endParaRPr>
        </a:p>
        <a:p>
          <a:pPr marL="57150" lvl="1" indent="-57150" algn="l" defTabSz="400050">
            <a:lnSpc>
              <a:spcPct val="90000"/>
            </a:lnSpc>
            <a:spcBef>
              <a:spcPct val="0"/>
            </a:spcBef>
            <a:spcAft>
              <a:spcPct val="15000"/>
            </a:spcAft>
            <a:buChar char="••"/>
          </a:pPr>
          <a:r>
            <a:rPr lang="es-PE" sz="900" kern="1200" dirty="0">
              <a:latin typeface="+mj-lt"/>
            </a:rPr>
            <a:t>Soporte exclusivo en I+DT+i a través de Fundación Chile</a:t>
          </a:r>
        </a:p>
        <a:p>
          <a:pPr marL="57150" lvl="1" indent="-57150" algn="l" defTabSz="400050">
            <a:lnSpc>
              <a:spcPct val="90000"/>
            </a:lnSpc>
            <a:spcBef>
              <a:spcPct val="0"/>
            </a:spcBef>
            <a:spcAft>
              <a:spcPct val="15000"/>
            </a:spcAft>
            <a:buChar char="••"/>
          </a:pPr>
          <a:r>
            <a:rPr lang="es-PE" sz="900" kern="1200" dirty="0">
              <a:latin typeface="+mj-lt"/>
            </a:rPr>
            <a:t>La acuicultura se incorporada como cluster importante para las exportaciones</a:t>
          </a:r>
        </a:p>
      </dsp:txBody>
      <dsp:txXfrm>
        <a:off x="2342794" y="2493139"/>
        <a:ext cx="2879468" cy="11409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92B928-CD8F-4D1E-A3B4-1AF7B4A0E71F}">
      <dsp:nvSpPr>
        <dsp:cNvPr id="0" name=""/>
        <dsp:cNvSpPr/>
      </dsp:nvSpPr>
      <dsp:spPr>
        <a:xfrm>
          <a:off x="2700019" y="1182985"/>
          <a:ext cx="2114672" cy="244672"/>
        </a:xfrm>
        <a:custGeom>
          <a:avLst/>
          <a:gdLst/>
          <a:ahLst/>
          <a:cxnLst/>
          <a:rect l="0" t="0" r="0" b="0"/>
          <a:pathLst>
            <a:path>
              <a:moveTo>
                <a:pt x="0" y="0"/>
              </a:moveTo>
              <a:lnTo>
                <a:pt x="0" y="122336"/>
              </a:lnTo>
              <a:lnTo>
                <a:pt x="2114672" y="122336"/>
              </a:lnTo>
              <a:lnTo>
                <a:pt x="2114672" y="2446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BEE65D-900C-4AB5-800D-AE7D0DFC0D54}">
      <dsp:nvSpPr>
        <dsp:cNvPr id="0" name=""/>
        <dsp:cNvSpPr/>
      </dsp:nvSpPr>
      <dsp:spPr>
        <a:xfrm>
          <a:off x="2700019" y="1182985"/>
          <a:ext cx="704890" cy="244672"/>
        </a:xfrm>
        <a:custGeom>
          <a:avLst/>
          <a:gdLst/>
          <a:ahLst/>
          <a:cxnLst/>
          <a:rect l="0" t="0" r="0" b="0"/>
          <a:pathLst>
            <a:path>
              <a:moveTo>
                <a:pt x="0" y="0"/>
              </a:moveTo>
              <a:lnTo>
                <a:pt x="0" y="122336"/>
              </a:lnTo>
              <a:lnTo>
                <a:pt x="704890" y="122336"/>
              </a:lnTo>
              <a:lnTo>
                <a:pt x="704890" y="2446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12527-9BC4-4276-988B-1A55450850A4}">
      <dsp:nvSpPr>
        <dsp:cNvPr id="0" name=""/>
        <dsp:cNvSpPr/>
      </dsp:nvSpPr>
      <dsp:spPr>
        <a:xfrm>
          <a:off x="1995129" y="1182985"/>
          <a:ext cx="704890" cy="244672"/>
        </a:xfrm>
        <a:custGeom>
          <a:avLst/>
          <a:gdLst/>
          <a:ahLst/>
          <a:cxnLst/>
          <a:rect l="0" t="0" r="0" b="0"/>
          <a:pathLst>
            <a:path>
              <a:moveTo>
                <a:pt x="704890" y="0"/>
              </a:moveTo>
              <a:lnTo>
                <a:pt x="704890" y="122336"/>
              </a:lnTo>
              <a:lnTo>
                <a:pt x="0" y="122336"/>
              </a:lnTo>
              <a:lnTo>
                <a:pt x="0" y="2446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71C929-C96D-4CDE-97D8-5448D54DCCEC}">
      <dsp:nvSpPr>
        <dsp:cNvPr id="0" name=""/>
        <dsp:cNvSpPr/>
      </dsp:nvSpPr>
      <dsp:spPr>
        <a:xfrm>
          <a:off x="585347" y="1182985"/>
          <a:ext cx="2114672" cy="244672"/>
        </a:xfrm>
        <a:custGeom>
          <a:avLst/>
          <a:gdLst/>
          <a:ahLst/>
          <a:cxnLst/>
          <a:rect l="0" t="0" r="0" b="0"/>
          <a:pathLst>
            <a:path>
              <a:moveTo>
                <a:pt x="2114672" y="0"/>
              </a:moveTo>
              <a:lnTo>
                <a:pt x="2114672" y="122336"/>
              </a:lnTo>
              <a:lnTo>
                <a:pt x="0" y="122336"/>
              </a:lnTo>
              <a:lnTo>
                <a:pt x="0" y="2446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6F8C94-CB5D-4C1C-80C4-0BFD79BB4148}">
      <dsp:nvSpPr>
        <dsp:cNvPr id="0" name=""/>
        <dsp:cNvSpPr/>
      </dsp:nvSpPr>
      <dsp:spPr>
        <a:xfrm>
          <a:off x="2117465" y="600431"/>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s-PE" sz="1000" b="1" i="0" u="none" strike="noStrike" kern="1200" baseline="0" smtClean="0">
              <a:latin typeface="Calibri" panose="020F0502020204030204" pitchFamily="34" charset="0"/>
            </a:rPr>
            <a:t>Despacho Viceministerial de Acuicultura</a:t>
          </a:r>
          <a:endParaRPr lang="es-PE" sz="1000" kern="1200" smtClean="0"/>
        </a:p>
      </dsp:txBody>
      <dsp:txXfrm>
        <a:off x="2117465" y="600431"/>
        <a:ext cx="1165108" cy="582554"/>
      </dsp:txXfrm>
    </dsp:sp>
    <dsp:sp modelId="{BAE27A33-B793-4A00-A575-54CF3D221260}">
      <dsp:nvSpPr>
        <dsp:cNvPr id="0" name=""/>
        <dsp:cNvSpPr/>
      </dsp:nvSpPr>
      <dsp:spPr>
        <a:xfrm>
          <a:off x="2793" y="1427658"/>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s-PE" sz="1000" b="1" i="0" u="none" strike="noStrike" kern="1200" baseline="0" smtClean="0">
              <a:latin typeface="Calibri" panose="020F0502020204030204" pitchFamily="34" charset="0"/>
            </a:rPr>
            <a:t>Dirección General de Ordenamiento y Administración de la Acuicultura</a:t>
          </a:r>
          <a:endParaRPr lang="es-PE" sz="1000" kern="1200" smtClean="0"/>
        </a:p>
      </dsp:txBody>
      <dsp:txXfrm>
        <a:off x="2793" y="1427658"/>
        <a:ext cx="1165108" cy="582554"/>
      </dsp:txXfrm>
    </dsp:sp>
    <dsp:sp modelId="{EF261BE6-97BA-48D8-B3C0-539119DAA113}">
      <dsp:nvSpPr>
        <dsp:cNvPr id="0" name=""/>
        <dsp:cNvSpPr/>
      </dsp:nvSpPr>
      <dsp:spPr>
        <a:xfrm>
          <a:off x="1412574" y="1427658"/>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s-PE" sz="1000" b="1" i="0" u="none" strike="noStrike" kern="1200" baseline="0" smtClean="0">
              <a:latin typeface="Calibri" panose="020F0502020204030204" pitchFamily="34" charset="0"/>
            </a:rPr>
            <a:t>Dirección General de Gestión y Desarrollo de la Acuicultura</a:t>
          </a:r>
          <a:endParaRPr lang="es-PE" sz="1000" kern="1200" smtClean="0"/>
        </a:p>
      </dsp:txBody>
      <dsp:txXfrm>
        <a:off x="1412574" y="1427658"/>
        <a:ext cx="1165108" cy="582554"/>
      </dsp:txXfrm>
    </dsp:sp>
    <dsp:sp modelId="{10BEF56E-2F18-4E81-951E-1733C8679DE7}">
      <dsp:nvSpPr>
        <dsp:cNvPr id="0" name=""/>
        <dsp:cNvSpPr/>
      </dsp:nvSpPr>
      <dsp:spPr>
        <a:xfrm>
          <a:off x="2822356" y="1427658"/>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s-PE" sz="1000" b="1" i="0" u="none" strike="noStrike" kern="1200" baseline="0" smtClean="0">
              <a:latin typeface="Calibri" panose="020F0502020204030204" pitchFamily="34" charset="0"/>
            </a:rPr>
            <a:t>Dirección General de Medio Ambiente en Acuicultura</a:t>
          </a:r>
          <a:endParaRPr lang="es-PE" sz="1000" kern="1200" smtClean="0"/>
        </a:p>
      </dsp:txBody>
      <dsp:txXfrm>
        <a:off x="2822356" y="1427658"/>
        <a:ext cx="1165108" cy="582554"/>
      </dsp:txXfrm>
    </dsp:sp>
    <dsp:sp modelId="{24B55F14-21E3-46DB-90D1-7CFDE4AB0265}">
      <dsp:nvSpPr>
        <dsp:cNvPr id="0" name=""/>
        <dsp:cNvSpPr/>
      </dsp:nvSpPr>
      <dsp:spPr>
        <a:xfrm>
          <a:off x="4232137" y="1427658"/>
          <a:ext cx="1165108" cy="582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s-PE" sz="1000" b="1" i="0" u="none" strike="noStrike" kern="1200" baseline="0" smtClean="0">
              <a:latin typeface="Calibri" panose="020F0502020204030204" pitchFamily="34" charset="0"/>
            </a:rPr>
            <a:t>Dirección General de Seguimiento y Control de la Acuicultura</a:t>
          </a:r>
          <a:endParaRPr lang="es-PE" sz="1000" kern="1200" smtClean="0"/>
        </a:p>
      </dsp:txBody>
      <dsp:txXfrm>
        <a:off x="4232137" y="1427658"/>
        <a:ext cx="1165108" cy="582554"/>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49AC-ED83-4856-81DD-E94AAB1B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28</Pages>
  <Words>12643</Words>
  <Characters>69541</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Ministerio de la Produccion</Company>
  <LinksUpToDate>false</LinksUpToDate>
  <CharactersWithSpaces>82020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dnepp</dc:creator>
  <cp:lastModifiedBy>Alvaro Abel Perez Sandoval</cp:lastModifiedBy>
  <cp:revision>102</cp:revision>
  <cp:lastPrinted>2010-11-03T00:29:00Z</cp:lastPrinted>
  <dcterms:created xsi:type="dcterms:W3CDTF">2010-11-15T15:22:00Z</dcterms:created>
  <dcterms:modified xsi:type="dcterms:W3CDTF">2013-08-12T14:51:00Z</dcterms:modified>
</cp:coreProperties>
</file>