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49" w:rsidRDefault="007C0A49" w:rsidP="00B94BD4">
      <w:pPr>
        <w:pStyle w:val="Sinespaciado"/>
        <w:jc w:val="both"/>
        <w:rPr>
          <w:sz w:val="24"/>
          <w:szCs w:val="24"/>
        </w:rPr>
      </w:pPr>
      <w:r w:rsidRPr="00B94BD4">
        <w:rPr>
          <w:sz w:val="24"/>
          <w:szCs w:val="24"/>
        </w:rPr>
        <w:t>Señores OANNES.</w:t>
      </w:r>
    </w:p>
    <w:p w:rsidR="00B868B9" w:rsidRPr="00B94BD4" w:rsidRDefault="00B868B9" w:rsidP="00B94BD4">
      <w:pPr>
        <w:pStyle w:val="Sinespaciado"/>
        <w:jc w:val="both"/>
        <w:rPr>
          <w:sz w:val="24"/>
          <w:szCs w:val="24"/>
        </w:rPr>
      </w:pPr>
      <w:r w:rsidRPr="00B94BD4">
        <w:rPr>
          <w:sz w:val="24"/>
          <w:szCs w:val="24"/>
        </w:rPr>
        <w:t>Recono</w:t>
      </w:r>
      <w:r w:rsidR="00502F5B" w:rsidRPr="00B94BD4">
        <w:rPr>
          <w:sz w:val="24"/>
          <w:szCs w:val="24"/>
        </w:rPr>
        <w:t xml:space="preserve">cemos </w:t>
      </w:r>
      <w:r w:rsidRPr="00B94BD4">
        <w:rPr>
          <w:sz w:val="24"/>
          <w:szCs w:val="24"/>
        </w:rPr>
        <w:t>haber</w:t>
      </w:r>
      <w:r w:rsidR="00502F5B" w:rsidRPr="00B94BD4">
        <w:rPr>
          <w:sz w:val="24"/>
          <w:szCs w:val="24"/>
        </w:rPr>
        <w:t xml:space="preserve">nos </w:t>
      </w:r>
      <w:r w:rsidR="007C0A49" w:rsidRPr="00B94BD4">
        <w:rPr>
          <w:sz w:val="24"/>
          <w:szCs w:val="24"/>
        </w:rPr>
        <w:t xml:space="preserve"> excedido </w:t>
      </w:r>
      <w:r w:rsidRPr="00B94BD4">
        <w:rPr>
          <w:sz w:val="24"/>
          <w:szCs w:val="24"/>
        </w:rPr>
        <w:t xml:space="preserve">en la </w:t>
      </w:r>
      <w:r w:rsidR="007C0A49" w:rsidRPr="00B94BD4">
        <w:rPr>
          <w:sz w:val="24"/>
          <w:szCs w:val="24"/>
        </w:rPr>
        <w:t>segunda c</w:t>
      </w:r>
      <w:r w:rsidRPr="00B94BD4">
        <w:rPr>
          <w:sz w:val="24"/>
          <w:szCs w:val="24"/>
        </w:rPr>
        <w:t xml:space="preserve">arta </w:t>
      </w:r>
      <w:r w:rsidR="007C0A49" w:rsidRPr="00B94BD4">
        <w:rPr>
          <w:sz w:val="24"/>
          <w:szCs w:val="24"/>
        </w:rPr>
        <w:t xml:space="preserve">que les </w:t>
      </w:r>
      <w:r w:rsidR="00502F5B" w:rsidRPr="00B94BD4">
        <w:rPr>
          <w:sz w:val="24"/>
          <w:szCs w:val="24"/>
        </w:rPr>
        <w:t>enviáramos</w:t>
      </w:r>
      <w:r w:rsidRPr="00B94BD4">
        <w:rPr>
          <w:sz w:val="24"/>
          <w:szCs w:val="24"/>
        </w:rPr>
        <w:t>,</w:t>
      </w:r>
      <w:r w:rsidR="00502F5B" w:rsidRPr="00B94BD4">
        <w:rPr>
          <w:sz w:val="24"/>
          <w:szCs w:val="24"/>
        </w:rPr>
        <w:t xml:space="preserve"> </w:t>
      </w:r>
      <w:r w:rsidRPr="00B94BD4">
        <w:rPr>
          <w:sz w:val="24"/>
          <w:szCs w:val="24"/>
        </w:rPr>
        <w:t>razón por l</w:t>
      </w:r>
      <w:r w:rsidR="00502F5B" w:rsidRPr="00B94BD4">
        <w:rPr>
          <w:sz w:val="24"/>
          <w:szCs w:val="24"/>
        </w:rPr>
        <w:t>o</w:t>
      </w:r>
      <w:r w:rsidRPr="00B94BD4">
        <w:rPr>
          <w:sz w:val="24"/>
          <w:szCs w:val="24"/>
        </w:rPr>
        <w:t xml:space="preserve"> cual </w:t>
      </w:r>
      <w:r w:rsidR="007D1AAE" w:rsidRPr="00B94BD4">
        <w:rPr>
          <w:sz w:val="24"/>
          <w:szCs w:val="24"/>
        </w:rPr>
        <w:t>en</w:t>
      </w:r>
      <w:r w:rsidR="00502F5B" w:rsidRPr="00B94BD4">
        <w:rPr>
          <w:sz w:val="24"/>
          <w:szCs w:val="24"/>
        </w:rPr>
        <w:t xml:space="preserve"> nombre de nuestra institución  </w:t>
      </w:r>
      <w:r w:rsidR="007D1AAE" w:rsidRPr="002E444B">
        <w:rPr>
          <w:b/>
          <w:sz w:val="24"/>
          <w:szCs w:val="24"/>
        </w:rPr>
        <w:t>ACOSEP</w:t>
      </w:r>
      <w:r w:rsidR="007D1AAE" w:rsidRPr="00B94BD4">
        <w:rPr>
          <w:sz w:val="24"/>
          <w:szCs w:val="24"/>
        </w:rPr>
        <w:t xml:space="preserve"> </w:t>
      </w:r>
      <w:r w:rsidR="007C0A49" w:rsidRPr="00B94BD4">
        <w:rPr>
          <w:sz w:val="24"/>
          <w:szCs w:val="24"/>
        </w:rPr>
        <w:t>les p</w:t>
      </w:r>
      <w:r w:rsidR="00502F5B" w:rsidRPr="00B94BD4">
        <w:rPr>
          <w:sz w:val="24"/>
          <w:szCs w:val="24"/>
        </w:rPr>
        <w:t>edim</w:t>
      </w:r>
      <w:r w:rsidR="007C0A49" w:rsidRPr="00B94BD4">
        <w:rPr>
          <w:sz w:val="24"/>
          <w:szCs w:val="24"/>
        </w:rPr>
        <w:t>o</w:t>
      </w:r>
      <w:r w:rsidR="00502F5B" w:rsidRPr="00B94BD4">
        <w:rPr>
          <w:sz w:val="24"/>
          <w:szCs w:val="24"/>
        </w:rPr>
        <w:t>s</w:t>
      </w:r>
      <w:r w:rsidR="007C0A49" w:rsidRPr="00B94BD4">
        <w:rPr>
          <w:sz w:val="24"/>
          <w:szCs w:val="24"/>
        </w:rPr>
        <w:t xml:space="preserve"> mil disculpas</w:t>
      </w:r>
      <w:r w:rsidR="00B94BD4">
        <w:rPr>
          <w:sz w:val="24"/>
          <w:szCs w:val="24"/>
        </w:rPr>
        <w:t>. Por nuestra</w:t>
      </w:r>
      <w:r w:rsidR="007C0A49" w:rsidRPr="00B94BD4">
        <w:rPr>
          <w:sz w:val="24"/>
          <w:szCs w:val="24"/>
        </w:rPr>
        <w:t xml:space="preserve"> </w:t>
      </w:r>
      <w:r w:rsidR="00B94BD4" w:rsidRPr="00B94BD4">
        <w:rPr>
          <w:sz w:val="24"/>
          <w:szCs w:val="24"/>
        </w:rPr>
        <w:t>osad</w:t>
      </w:r>
      <w:r w:rsidR="00B94BD4">
        <w:rPr>
          <w:sz w:val="24"/>
          <w:szCs w:val="24"/>
        </w:rPr>
        <w:t>ía</w:t>
      </w:r>
      <w:r w:rsidRPr="00B94BD4">
        <w:rPr>
          <w:sz w:val="24"/>
          <w:szCs w:val="24"/>
        </w:rPr>
        <w:t xml:space="preserve">. </w:t>
      </w:r>
    </w:p>
    <w:p w:rsidR="00502F5B" w:rsidRPr="00B94BD4" w:rsidRDefault="00B94BD4" w:rsidP="00B94BD4">
      <w:pPr>
        <w:pStyle w:val="Sinespaciado"/>
        <w:jc w:val="both"/>
        <w:rPr>
          <w:sz w:val="24"/>
          <w:szCs w:val="24"/>
        </w:rPr>
      </w:pPr>
      <w:r w:rsidRPr="00B94BD4">
        <w:rPr>
          <w:sz w:val="24"/>
          <w:szCs w:val="24"/>
        </w:rPr>
        <w:t>S</w:t>
      </w:r>
      <w:r w:rsidR="007C0A49" w:rsidRPr="00B94BD4">
        <w:rPr>
          <w:sz w:val="24"/>
          <w:szCs w:val="24"/>
        </w:rPr>
        <w:t>eñores l</w:t>
      </w:r>
      <w:r w:rsidR="00B868B9" w:rsidRPr="00B94BD4">
        <w:rPr>
          <w:sz w:val="24"/>
          <w:szCs w:val="24"/>
        </w:rPr>
        <w:t xml:space="preserve">as afirmaciones de la NOA, </w:t>
      </w:r>
      <w:r w:rsidR="007C0A49" w:rsidRPr="00B94BD4">
        <w:rPr>
          <w:sz w:val="24"/>
          <w:szCs w:val="24"/>
        </w:rPr>
        <w:t xml:space="preserve">sobre </w:t>
      </w:r>
      <w:r w:rsidR="00B868B9" w:rsidRPr="00B94BD4">
        <w:rPr>
          <w:sz w:val="24"/>
          <w:szCs w:val="24"/>
        </w:rPr>
        <w:t xml:space="preserve">la </w:t>
      </w:r>
      <w:r w:rsidR="007C0A49" w:rsidRPr="00B94BD4">
        <w:rPr>
          <w:sz w:val="24"/>
          <w:szCs w:val="24"/>
        </w:rPr>
        <w:t xml:space="preserve">nueva </w:t>
      </w:r>
      <w:r w:rsidR="00B868B9" w:rsidRPr="00B94BD4">
        <w:rPr>
          <w:sz w:val="24"/>
          <w:szCs w:val="24"/>
        </w:rPr>
        <w:t>presencia del fenóme</w:t>
      </w:r>
      <w:r w:rsidR="00BC75C4" w:rsidRPr="00B94BD4">
        <w:rPr>
          <w:sz w:val="24"/>
          <w:szCs w:val="24"/>
        </w:rPr>
        <w:t xml:space="preserve">no del niño </w:t>
      </w:r>
      <w:r w:rsidR="007C0A49" w:rsidRPr="00B94BD4">
        <w:rPr>
          <w:sz w:val="24"/>
          <w:szCs w:val="24"/>
        </w:rPr>
        <w:t>tienen</w:t>
      </w:r>
      <w:r w:rsidR="00BC75C4" w:rsidRPr="00B94BD4">
        <w:rPr>
          <w:sz w:val="24"/>
          <w:szCs w:val="24"/>
        </w:rPr>
        <w:t xml:space="preserve"> un </w:t>
      </w:r>
      <w:r w:rsidR="007C0A49" w:rsidRPr="00B94BD4">
        <w:rPr>
          <w:sz w:val="24"/>
          <w:szCs w:val="24"/>
        </w:rPr>
        <w:t xml:space="preserve">sincero </w:t>
      </w:r>
      <w:r w:rsidR="00BC75C4" w:rsidRPr="00B94BD4">
        <w:rPr>
          <w:sz w:val="24"/>
          <w:szCs w:val="24"/>
        </w:rPr>
        <w:t xml:space="preserve">acierto </w:t>
      </w:r>
      <w:r w:rsidR="007C0A49" w:rsidRPr="00B94BD4">
        <w:rPr>
          <w:sz w:val="24"/>
          <w:szCs w:val="24"/>
        </w:rPr>
        <w:t xml:space="preserve">en el margen </w:t>
      </w:r>
      <w:r w:rsidR="00BC75C4" w:rsidRPr="00B94BD4">
        <w:rPr>
          <w:sz w:val="24"/>
          <w:szCs w:val="24"/>
        </w:rPr>
        <w:t>del 99%</w:t>
      </w:r>
      <w:r w:rsidR="007C0A49" w:rsidRPr="00B94BD4">
        <w:rPr>
          <w:sz w:val="24"/>
          <w:szCs w:val="24"/>
        </w:rPr>
        <w:t xml:space="preserve">. </w:t>
      </w:r>
      <w:r w:rsidRPr="00B94BD4">
        <w:rPr>
          <w:sz w:val="24"/>
          <w:szCs w:val="24"/>
        </w:rPr>
        <w:t>Coincidiendo</w:t>
      </w:r>
      <w:r w:rsidR="00502F5B" w:rsidRPr="00B94BD4">
        <w:rPr>
          <w:sz w:val="24"/>
          <w:szCs w:val="24"/>
        </w:rPr>
        <w:t xml:space="preserve"> </w:t>
      </w:r>
      <w:r w:rsidR="007D1AAE" w:rsidRPr="00B94BD4">
        <w:rPr>
          <w:sz w:val="24"/>
          <w:szCs w:val="24"/>
        </w:rPr>
        <w:t>con el</w:t>
      </w:r>
      <w:r w:rsidR="00502F5B" w:rsidRPr="00B94BD4">
        <w:rPr>
          <w:sz w:val="24"/>
          <w:szCs w:val="24"/>
        </w:rPr>
        <w:t xml:space="preserve"> </w:t>
      </w:r>
      <w:r w:rsidR="007C0A49" w:rsidRPr="00B94BD4">
        <w:rPr>
          <w:sz w:val="24"/>
          <w:szCs w:val="24"/>
        </w:rPr>
        <w:t xml:space="preserve">trabajo </w:t>
      </w:r>
      <w:r>
        <w:rPr>
          <w:sz w:val="24"/>
          <w:szCs w:val="24"/>
        </w:rPr>
        <w:t xml:space="preserve"> que hemos </w:t>
      </w:r>
      <w:r w:rsidR="007C0A49" w:rsidRPr="00B94BD4">
        <w:rPr>
          <w:sz w:val="24"/>
          <w:szCs w:val="24"/>
        </w:rPr>
        <w:t xml:space="preserve">realizado </w:t>
      </w:r>
      <w:r>
        <w:rPr>
          <w:sz w:val="24"/>
          <w:szCs w:val="24"/>
        </w:rPr>
        <w:t xml:space="preserve">en </w:t>
      </w:r>
      <w:r w:rsidR="007C0A49" w:rsidRPr="00B94BD4">
        <w:rPr>
          <w:sz w:val="24"/>
          <w:szCs w:val="24"/>
        </w:rPr>
        <w:t xml:space="preserve"> </w:t>
      </w:r>
      <w:r w:rsidR="007D1AAE" w:rsidRPr="00B94BD4">
        <w:rPr>
          <w:sz w:val="24"/>
          <w:szCs w:val="24"/>
        </w:rPr>
        <w:t xml:space="preserve"> </w:t>
      </w:r>
      <w:r w:rsidR="007C0A49" w:rsidRPr="00B94BD4">
        <w:rPr>
          <w:sz w:val="24"/>
          <w:szCs w:val="24"/>
        </w:rPr>
        <w:t xml:space="preserve">asesoría y consultoría para el sector pesquero </w:t>
      </w:r>
      <w:r w:rsidR="00BC75C4" w:rsidRPr="00B94BD4">
        <w:rPr>
          <w:sz w:val="24"/>
          <w:szCs w:val="24"/>
        </w:rPr>
        <w:t xml:space="preserve"> </w:t>
      </w:r>
      <w:r w:rsidR="007C0A49" w:rsidRPr="002E444B">
        <w:rPr>
          <w:b/>
          <w:sz w:val="24"/>
          <w:szCs w:val="24"/>
        </w:rPr>
        <w:t>(</w:t>
      </w:r>
      <w:r w:rsidR="00BC75C4" w:rsidRPr="002E444B">
        <w:rPr>
          <w:b/>
          <w:sz w:val="24"/>
          <w:szCs w:val="24"/>
        </w:rPr>
        <w:t>ACOSEP</w:t>
      </w:r>
      <w:r w:rsidR="007C0A49" w:rsidRPr="002E444B">
        <w:rPr>
          <w:b/>
          <w:sz w:val="24"/>
          <w:szCs w:val="24"/>
        </w:rPr>
        <w:t>)</w:t>
      </w:r>
      <w:r w:rsidR="00BC75C4" w:rsidRPr="00B94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debido a que </w:t>
      </w:r>
      <w:r w:rsidR="007C0A49" w:rsidRPr="00B94BD4">
        <w:rPr>
          <w:sz w:val="24"/>
          <w:szCs w:val="24"/>
        </w:rPr>
        <w:t xml:space="preserve">entre </w:t>
      </w:r>
      <w:r>
        <w:rPr>
          <w:sz w:val="24"/>
          <w:szCs w:val="24"/>
        </w:rPr>
        <w:t xml:space="preserve">nuestros </w:t>
      </w:r>
      <w:r w:rsidR="00B868B9" w:rsidRPr="00B94BD4">
        <w:rPr>
          <w:sz w:val="24"/>
          <w:szCs w:val="24"/>
        </w:rPr>
        <w:t xml:space="preserve"> archivos </w:t>
      </w:r>
      <w:r w:rsidR="007D1AAE" w:rsidRPr="00B94BD4">
        <w:rPr>
          <w:sz w:val="24"/>
          <w:szCs w:val="24"/>
        </w:rPr>
        <w:t>tene</w:t>
      </w:r>
      <w:r>
        <w:rPr>
          <w:sz w:val="24"/>
          <w:szCs w:val="24"/>
        </w:rPr>
        <w:t>mos</w:t>
      </w:r>
      <w:r w:rsidR="007D1AAE" w:rsidRPr="00B94BD4">
        <w:rPr>
          <w:sz w:val="24"/>
          <w:szCs w:val="24"/>
        </w:rPr>
        <w:t xml:space="preserve"> </w:t>
      </w:r>
      <w:r w:rsidR="00B868B9" w:rsidRPr="00B94BD4">
        <w:rPr>
          <w:sz w:val="24"/>
          <w:szCs w:val="24"/>
        </w:rPr>
        <w:t>el comportamiento de las temperaturas superficiales del mar y las estadísticas que presenta</w:t>
      </w:r>
      <w:r>
        <w:rPr>
          <w:sz w:val="24"/>
          <w:szCs w:val="24"/>
        </w:rPr>
        <w:t>n</w:t>
      </w:r>
      <w:r w:rsidR="00B868B9" w:rsidRPr="00B94BD4">
        <w:rPr>
          <w:sz w:val="24"/>
          <w:szCs w:val="24"/>
        </w:rPr>
        <w:t xml:space="preserve"> </w:t>
      </w:r>
      <w:r w:rsidR="007D1AAE" w:rsidRPr="00B94BD4">
        <w:rPr>
          <w:sz w:val="24"/>
          <w:szCs w:val="24"/>
        </w:rPr>
        <w:t xml:space="preserve">marcadas </w:t>
      </w:r>
      <w:r w:rsidR="00B868B9" w:rsidRPr="00B94BD4">
        <w:rPr>
          <w:sz w:val="24"/>
          <w:szCs w:val="24"/>
        </w:rPr>
        <w:t>evidencias de los últimos 485 años</w:t>
      </w:r>
      <w:r w:rsidR="007C0A49" w:rsidRPr="00B94BD4">
        <w:rPr>
          <w:sz w:val="24"/>
          <w:szCs w:val="24"/>
        </w:rPr>
        <w:t xml:space="preserve">. </w:t>
      </w:r>
    </w:p>
    <w:p w:rsidR="007D1AAE" w:rsidRPr="00B94BD4" w:rsidRDefault="007D1AAE" w:rsidP="00B94BD4">
      <w:pPr>
        <w:pStyle w:val="Sinespaciado"/>
        <w:jc w:val="both"/>
        <w:rPr>
          <w:sz w:val="24"/>
          <w:szCs w:val="24"/>
        </w:rPr>
      </w:pPr>
      <w:r w:rsidRPr="00B94BD4">
        <w:rPr>
          <w:sz w:val="24"/>
          <w:szCs w:val="24"/>
        </w:rPr>
        <w:t>A continuación detallamos el trabajo presentado e</w:t>
      </w:r>
      <w:r w:rsidR="00B868B9" w:rsidRPr="00B94BD4">
        <w:rPr>
          <w:sz w:val="24"/>
          <w:szCs w:val="24"/>
        </w:rPr>
        <w:t xml:space="preserve">n </w:t>
      </w:r>
      <w:r w:rsidR="007C0A49" w:rsidRPr="00B94BD4">
        <w:rPr>
          <w:sz w:val="24"/>
          <w:szCs w:val="24"/>
        </w:rPr>
        <w:t xml:space="preserve">dos </w:t>
      </w:r>
      <w:r w:rsidR="00B868B9" w:rsidRPr="00B94BD4">
        <w:rPr>
          <w:sz w:val="24"/>
          <w:szCs w:val="24"/>
        </w:rPr>
        <w:t xml:space="preserve">obras </w:t>
      </w:r>
      <w:r w:rsidRPr="00B94BD4">
        <w:rPr>
          <w:sz w:val="24"/>
          <w:szCs w:val="24"/>
        </w:rPr>
        <w:t>de H</w:t>
      </w:r>
      <w:r w:rsidR="00B868B9" w:rsidRPr="00B94BD4">
        <w:rPr>
          <w:sz w:val="24"/>
          <w:szCs w:val="24"/>
        </w:rPr>
        <w:t>eliofísica</w:t>
      </w:r>
      <w:r w:rsidRPr="00B94BD4">
        <w:rPr>
          <w:sz w:val="24"/>
          <w:szCs w:val="24"/>
        </w:rPr>
        <w:t xml:space="preserve">  ya</w:t>
      </w:r>
      <w:r w:rsidR="00502F5B" w:rsidRPr="00B94BD4">
        <w:rPr>
          <w:sz w:val="24"/>
          <w:szCs w:val="24"/>
        </w:rPr>
        <w:t xml:space="preserve"> </w:t>
      </w:r>
      <w:r w:rsidRPr="00B94BD4">
        <w:rPr>
          <w:sz w:val="24"/>
          <w:szCs w:val="24"/>
        </w:rPr>
        <w:t xml:space="preserve">publicadas. </w:t>
      </w:r>
    </w:p>
    <w:p w:rsidR="00B868B9" w:rsidRPr="00B94BD4" w:rsidRDefault="007D1AAE" w:rsidP="00B94BD4">
      <w:pPr>
        <w:pStyle w:val="Sinespaciado"/>
        <w:jc w:val="both"/>
        <w:rPr>
          <w:sz w:val="24"/>
          <w:szCs w:val="24"/>
        </w:rPr>
      </w:pPr>
      <w:r w:rsidRPr="00B94BD4">
        <w:rPr>
          <w:sz w:val="24"/>
          <w:szCs w:val="24"/>
        </w:rPr>
        <w:t>A</w:t>
      </w:r>
      <w:r w:rsidR="00B868B9" w:rsidRPr="00B94BD4">
        <w:rPr>
          <w:sz w:val="24"/>
          <w:szCs w:val="24"/>
        </w:rPr>
        <w:t xml:space="preserve">nomalías se presentan en nuestras costas en eventos periódicos cíclicos </w:t>
      </w:r>
      <w:r w:rsidR="007C0A49" w:rsidRPr="00B94BD4">
        <w:rPr>
          <w:sz w:val="24"/>
          <w:szCs w:val="24"/>
        </w:rPr>
        <w:t xml:space="preserve"> tal </w:t>
      </w:r>
      <w:r w:rsidR="00B868B9" w:rsidRPr="00B94BD4">
        <w:rPr>
          <w:sz w:val="24"/>
          <w:szCs w:val="24"/>
        </w:rPr>
        <w:t>como lo demostramos en el siguiente grafico</w:t>
      </w:r>
      <w:r w:rsidR="00502F5B" w:rsidRPr="00B94BD4">
        <w:rPr>
          <w:sz w:val="24"/>
          <w:szCs w:val="24"/>
        </w:rPr>
        <w:t xml:space="preserve"> </w:t>
      </w:r>
    </w:p>
    <w:p w:rsidR="00B868B9" w:rsidRPr="00B868B9" w:rsidRDefault="00B868B9" w:rsidP="00B86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868B9">
        <w:rPr>
          <w:rFonts w:ascii="Arial" w:hAnsi="Arial" w:cs="Arial"/>
          <w:b/>
          <w:sz w:val="24"/>
          <w:szCs w:val="24"/>
          <w:lang w:val="es-ES_tradnl"/>
        </w:rPr>
        <w:t>EVENTO E INTERVALO OBSERVACIONES DE 485 AÑOS.</w:t>
      </w:r>
    </w:p>
    <w:tbl>
      <w:tblPr>
        <w:tblpPr w:leftFromText="141" w:rightFromText="141" w:vertAnchor="text" w:horzAnchor="margin" w:tblpXSpec="center" w:tblpY="409"/>
        <w:tblW w:w="91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4"/>
        <w:gridCol w:w="5061"/>
        <w:gridCol w:w="1970"/>
      </w:tblGrid>
      <w:tr w:rsidR="00B868B9" w:rsidRPr="00B94BD4" w:rsidTr="00B94BD4">
        <w:trPr>
          <w:trHeight w:val="276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  <w:t>EVENTOS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1718" w:right="-376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  <w:t>INTERVALOS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sz w:val="20"/>
                <w:szCs w:val="20"/>
                <w:lang w:val="es-ES_tradnl" w:eastAsia="es-ES_tradnl"/>
              </w:rPr>
              <w:t>N° observaciones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Ciclo de Corto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CP de paso rápido, es de 5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9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Plazo (CP)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CP de paso medio es de 6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19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CP de paso lento es de 7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8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Ciclo de Mediano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M.P de paso rápido es de 12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10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Plazo (MP)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El ciclo de M.P. de paso medio es de 14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20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M.P. de paso lento es de 16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6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Ciclo de Largo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L.P. de paso rápido es de 30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3</w:t>
            </w:r>
          </w:p>
        </w:tc>
      </w:tr>
      <w:tr w:rsidR="00B868B9" w:rsidRPr="00B94BD4" w:rsidTr="00B94BD4">
        <w:trPr>
          <w:trHeight w:hRule="exact" w:val="329"/>
        </w:trPr>
        <w:tc>
          <w:tcPr>
            <w:tcW w:w="2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Plazo (LP)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5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L.P. de paso medio es de 40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7</w:t>
            </w:r>
          </w:p>
        </w:tc>
      </w:tr>
      <w:tr w:rsidR="00B868B9" w:rsidRPr="00B94BD4" w:rsidTr="00B94BD4">
        <w:trPr>
          <w:trHeight w:hRule="exact" w:val="428"/>
        </w:trPr>
        <w:tc>
          <w:tcPr>
            <w:tcW w:w="2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center"/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sz w:val="20"/>
                <w:szCs w:val="20"/>
                <w:lang w:val="es-ES_tradnl" w:eastAsia="es-ES_tradnl"/>
              </w:rPr>
              <w:t>-   El ciclo de L.P de paso lento es de 50 años.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8B9" w:rsidRPr="00B94BD4" w:rsidRDefault="00B868B9" w:rsidP="00E17936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s-ES_tradnl" w:eastAsia="es-ES_tradnl"/>
              </w:rPr>
              <w:t>2</w:t>
            </w:r>
          </w:p>
        </w:tc>
      </w:tr>
      <w:tr w:rsidR="00B868B9" w:rsidRPr="00B94BD4" w:rsidTr="00B94BD4">
        <w:trPr>
          <w:trHeight w:hRule="exact" w:val="445"/>
        </w:trPr>
        <w:tc>
          <w:tcPr>
            <w:tcW w:w="9185" w:type="dxa"/>
            <w:gridSpan w:val="3"/>
            <w:tcBorders>
              <w:top w:val="single" w:sz="6" w:space="0" w:color="auto"/>
              <w:bottom w:val="nil"/>
            </w:tcBorders>
          </w:tcPr>
          <w:p w:rsidR="00B868B9" w:rsidRPr="00B94BD4" w:rsidRDefault="00B868B9" w:rsidP="00B868B9">
            <w:pPr>
              <w:autoSpaceDE w:val="0"/>
              <w:autoSpaceDN w:val="0"/>
              <w:adjustRightInd w:val="0"/>
              <w:spacing w:before="120" w:after="120" w:line="240" w:lineRule="auto"/>
              <w:ind w:right="-323"/>
              <w:jc w:val="center"/>
              <w:rPr>
                <w:rFonts w:ascii="Arial" w:eastAsiaTheme="minorEastAsia" w:hAnsi="Arial" w:cs="Arial"/>
                <w:b/>
                <w:bCs/>
                <w:lang w:val="es-ES_tradnl" w:eastAsia="es-ES_tradnl"/>
              </w:rPr>
            </w:pPr>
            <w:r w:rsidRPr="00B94BD4">
              <w:rPr>
                <w:rFonts w:ascii="Arial" w:eastAsiaTheme="minorEastAsia" w:hAnsi="Arial" w:cs="Arial"/>
                <w:b/>
                <w:bCs/>
                <w:lang w:val="es-ES_tradnl" w:eastAsia="es-ES_tradnl"/>
              </w:rPr>
              <w:t xml:space="preserve">                                                                          FUENTE: ACOSEP</w:t>
            </w:r>
          </w:p>
        </w:tc>
      </w:tr>
    </w:tbl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868B9" w:rsidRPr="00B868B9" w:rsidRDefault="00B868B9" w:rsidP="00B868B9">
      <w:pPr>
        <w:pStyle w:val="Sinespaciado"/>
        <w:rPr>
          <w:rFonts w:ascii="Arial" w:hAnsi="Arial" w:cs="Arial"/>
        </w:rPr>
      </w:pPr>
    </w:p>
    <w:p w:rsidR="00B94BD4" w:rsidRDefault="00B868B9" w:rsidP="00B868B9">
      <w:pPr>
        <w:pStyle w:val="Sinespaciado"/>
        <w:jc w:val="both"/>
        <w:rPr>
          <w:rFonts w:ascii="Arial" w:hAnsi="Arial" w:cs="Arial"/>
        </w:rPr>
      </w:pPr>
      <w:r w:rsidRPr="00B868B9">
        <w:rPr>
          <w:rFonts w:ascii="Arial" w:hAnsi="Arial" w:cs="Arial"/>
        </w:rPr>
        <w:t xml:space="preserve">Siempre que se va a presentar una anomalía como el fenómeno del niño en nuestras costas, primero se anuncia con </w:t>
      </w:r>
      <w:r w:rsidR="00BC75C4">
        <w:rPr>
          <w:rFonts w:ascii="Arial" w:hAnsi="Arial" w:cs="Arial"/>
        </w:rPr>
        <w:t>la</w:t>
      </w:r>
      <w:r w:rsidRPr="00B868B9">
        <w:rPr>
          <w:rFonts w:ascii="Arial" w:hAnsi="Arial" w:cs="Arial"/>
        </w:rPr>
        <w:t xml:space="preserve"> presencia del zooplacton</w:t>
      </w:r>
      <w:r w:rsidR="00B94BD4">
        <w:rPr>
          <w:rFonts w:ascii="Arial" w:hAnsi="Arial" w:cs="Arial"/>
        </w:rPr>
        <w:t xml:space="preserve"> (</w:t>
      </w:r>
      <w:r w:rsidR="00B94BD4" w:rsidRPr="00B94BD4">
        <w:rPr>
          <w:rFonts w:ascii="Arial" w:hAnsi="Arial" w:cs="Arial"/>
        </w:rPr>
        <w:t>malagua</w:t>
      </w:r>
      <w:r w:rsidR="00B94BD4">
        <w:rPr>
          <w:rFonts w:ascii="Arial" w:hAnsi="Arial" w:cs="Arial"/>
        </w:rPr>
        <w:t>)</w:t>
      </w:r>
      <w:r w:rsidR="00B94BD4" w:rsidRPr="00B94BD4">
        <w:rPr>
          <w:rFonts w:ascii="Arial" w:hAnsi="Arial" w:cs="Arial"/>
        </w:rPr>
        <w:t xml:space="preserve"> </w:t>
      </w:r>
      <w:r w:rsidRPr="00B868B9">
        <w:rPr>
          <w:rFonts w:ascii="Arial" w:hAnsi="Arial" w:cs="Arial"/>
        </w:rPr>
        <w:t>que su</w:t>
      </w:r>
      <w:r w:rsidR="00BC75C4">
        <w:rPr>
          <w:rFonts w:ascii="Arial" w:hAnsi="Arial" w:cs="Arial"/>
        </w:rPr>
        <w:t xml:space="preserve"> longitud es de 5mm. L</w:t>
      </w:r>
      <w:r w:rsidRPr="00B868B9">
        <w:rPr>
          <w:rFonts w:ascii="Arial" w:hAnsi="Arial" w:cs="Arial"/>
        </w:rPr>
        <w:t>as altas temperaturas superficial</w:t>
      </w:r>
      <w:r w:rsidR="00B94BD4">
        <w:rPr>
          <w:rFonts w:ascii="Arial" w:hAnsi="Arial" w:cs="Arial"/>
        </w:rPr>
        <w:t>es</w:t>
      </w:r>
      <w:r w:rsidRPr="00B868B9">
        <w:rPr>
          <w:rFonts w:ascii="Arial" w:hAnsi="Arial" w:cs="Arial"/>
        </w:rPr>
        <w:t xml:space="preserve"> del </w:t>
      </w:r>
      <w:r w:rsidR="007D1AAE">
        <w:rPr>
          <w:rFonts w:ascii="Arial" w:hAnsi="Arial" w:cs="Arial"/>
        </w:rPr>
        <w:t>m</w:t>
      </w:r>
      <w:r w:rsidRPr="00B868B9">
        <w:rPr>
          <w:rFonts w:ascii="Arial" w:hAnsi="Arial" w:cs="Arial"/>
        </w:rPr>
        <w:t>ar hacen q</w:t>
      </w:r>
      <w:r w:rsidR="00BC75C4">
        <w:rPr>
          <w:rFonts w:ascii="Arial" w:hAnsi="Arial" w:cs="Arial"/>
        </w:rPr>
        <w:t>ue estas especies se sobredimensionan en su talla</w:t>
      </w:r>
      <w:r w:rsidR="00B94BD4">
        <w:rPr>
          <w:rFonts w:ascii="Arial" w:hAnsi="Arial" w:cs="Arial"/>
        </w:rPr>
        <w:t>.</w:t>
      </w:r>
    </w:p>
    <w:p w:rsidR="00B94BD4" w:rsidRDefault="00B94BD4" w:rsidP="00B868B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</w:t>
      </w:r>
      <w:r w:rsidR="00B868B9" w:rsidRPr="00B868B9">
        <w:rPr>
          <w:rFonts w:ascii="Arial" w:hAnsi="Arial" w:cs="Arial"/>
        </w:rPr>
        <w:t xml:space="preserve"> mismo sucede con el </w:t>
      </w:r>
      <w:r w:rsidR="007D1AAE" w:rsidRPr="00B868B9">
        <w:rPr>
          <w:rFonts w:ascii="Arial" w:hAnsi="Arial" w:cs="Arial"/>
        </w:rPr>
        <w:t>plancton</w:t>
      </w:r>
      <w:r w:rsidR="00B868B9" w:rsidRPr="00B868B9">
        <w:rPr>
          <w:rFonts w:ascii="Arial" w:hAnsi="Arial" w:cs="Arial"/>
        </w:rPr>
        <w:t xml:space="preserve"> invertebrado dentónico</w:t>
      </w:r>
      <w:r>
        <w:rPr>
          <w:rFonts w:ascii="Arial" w:hAnsi="Arial" w:cs="Arial"/>
        </w:rPr>
        <w:t xml:space="preserve"> (</w:t>
      </w:r>
      <w:r w:rsidRPr="00B94BD4">
        <w:rPr>
          <w:rFonts w:ascii="Arial" w:hAnsi="Arial" w:cs="Arial"/>
        </w:rPr>
        <w:t>langostino</w:t>
      </w:r>
      <w:r>
        <w:rPr>
          <w:rFonts w:ascii="Arial" w:hAnsi="Arial" w:cs="Arial"/>
        </w:rPr>
        <w:t>)</w:t>
      </w:r>
      <w:r w:rsidR="00B868B9" w:rsidRPr="00B868B9">
        <w:rPr>
          <w:rFonts w:ascii="Arial" w:hAnsi="Arial" w:cs="Arial"/>
        </w:rPr>
        <w:t xml:space="preserve"> que en su medida es menor de 50 micras, pero que las altas temperaturas </w:t>
      </w:r>
      <w:r w:rsidRPr="00B868B9">
        <w:rPr>
          <w:rFonts w:ascii="Arial" w:hAnsi="Arial" w:cs="Arial"/>
        </w:rPr>
        <w:t>superficiales</w:t>
      </w:r>
      <w:r w:rsidR="00B868B9" w:rsidRPr="00B868B9">
        <w:rPr>
          <w:rFonts w:ascii="Arial" w:hAnsi="Arial" w:cs="Arial"/>
        </w:rPr>
        <w:t xml:space="preserve"> del mar hacen que se desarrollen</w:t>
      </w:r>
      <w:r>
        <w:rPr>
          <w:rFonts w:ascii="Arial" w:hAnsi="Arial" w:cs="Arial"/>
        </w:rPr>
        <w:t>.</w:t>
      </w:r>
    </w:p>
    <w:p w:rsidR="00B868B9" w:rsidRDefault="00B868B9" w:rsidP="00B868B9">
      <w:pPr>
        <w:pStyle w:val="Sinespaciado"/>
        <w:jc w:val="both"/>
        <w:rPr>
          <w:rFonts w:ascii="Arial" w:hAnsi="Arial" w:cs="Arial"/>
        </w:rPr>
      </w:pPr>
      <w:r w:rsidRPr="00B868B9">
        <w:rPr>
          <w:rFonts w:ascii="Arial" w:hAnsi="Arial" w:cs="Arial"/>
        </w:rPr>
        <w:t xml:space="preserve">Reitero </w:t>
      </w:r>
      <w:r w:rsidR="00BC75C4">
        <w:rPr>
          <w:rFonts w:ascii="Arial" w:hAnsi="Arial" w:cs="Arial"/>
        </w:rPr>
        <w:t>cada vez que se</w:t>
      </w:r>
      <w:r w:rsidRPr="00B868B9">
        <w:rPr>
          <w:rFonts w:ascii="Arial" w:hAnsi="Arial" w:cs="Arial"/>
        </w:rPr>
        <w:t xml:space="preserve"> presenta una anomalía en nuestras costas,   como lo presentamos en este gráfico. </w:t>
      </w:r>
    </w:p>
    <w:p w:rsidR="00B868B9" w:rsidRPr="00B868B9" w:rsidRDefault="00B868B9" w:rsidP="00B868B9">
      <w:pPr>
        <w:pStyle w:val="Sinespaciado"/>
        <w:jc w:val="both"/>
        <w:rPr>
          <w:rFonts w:ascii="Arial" w:hAnsi="Arial" w:cs="Arial"/>
        </w:rPr>
      </w:pPr>
    </w:p>
    <w:p w:rsidR="00B868B9" w:rsidRDefault="00B868B9" w:rsidP="00B868B9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B868B9">
        <w:rPr>
          <w:rFonts w:ascii="Arial" w:hAnsi="Arial" w:cs="Arial"/>
          <w:b/>
          <w:lang w:val="es-ES_tradnl"/>
        </w:rPr>
        <w:t>EL FENÓMENO DE EL NIÑO Y EL CAMBIO CLIMÁTICO EN LOS ÚLTIMOS 100 AÑOS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4"/>
        <w:gridCol w:w="2660"/>
        <w:gridCol w:w="2780"/>
        <w:gridCol w:w="2517"/>
        <w:gridCol w:w="1372"/>
      </w:tblGrid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Años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Intensidad de Verano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Intensidad de Invierno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Tipos de Anomalías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Promedio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1899-00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7.4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-7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1914-15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6.5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13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color w:val="FF0000"/>
                <w:sz w:val="28"/>
                <w:szCs w:val="28"/>
                <w:lang w:val="es-ES_tradnl"/>
              </w:rPr>
              <w:t>1924-25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10.1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-9.1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FFF +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color w:val="FF0000"/>
                <w:sz w:val="28"/>
                <w:szCs w:val="28"/>
                <w:lang w:val="es-ES_tradnl"/>
              </w:rPr>
            </w:pPr>
            <w:r w:rsidRPr="00B94BD4">
              <w:rPr>
                <w:color w:val="FF0000"/>
                <w:sz w:val="28"/>
                <w:szCs w:val="28"/>
                <w:lang w:val="es-ES_tradnl"/>
              </w:rPr>
              <w:t>11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1940-41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6.9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-7.0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16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1957-58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4.6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-3.4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16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1972-73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6.4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-6.4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15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color w:val="FF0000"/>
                <w:sz w:val="28"/>
                <w:szCs w:val="28"/>
                <w:lang w:val="es-ES_tradnl"/>
              </w:rPr>
              <w:t>1982-83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8.8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-7.7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FFF +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color w:val="FF0000"/>
                <w:sz w:val="28"/>
                <w:szCs w:val="28"/>
                <w:lang w:val="es-ES_tradnl"/>
              </w:rPr>
            </w:pPr>
            <w:r w:rsidRPr="00B94BD4">
              <w:rPr>
                <w:color w:val="FF0000"/>
                <w:sz w:val="28"/>
                <w:szCs w:val="28"/>
                <w:lang w:val="es-ES_tradnl"/>
              </w:rPr>
              <w:t>11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1997-98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6.4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-5.9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15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2014-15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6.8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-6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16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2024-25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8.9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-8.2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color w:val="FF0000"/>
                <w:sz w:val="28"/>
                <w:szCs w:val="28"/>
                <w:lang w:val="es-ES_tradnl"/>
              </w:rPr>
            </w:pPr>
            <w:r w:rsidRPr="00B94BD4">
              <w:rPr>
                <w:color w:val="FF0000"/>
                <w:sz w:val="28"/>
                <w:szCs w:val="28"/>
                <w:lang w:val="es-ES_tradnl"/>
              </w:rPr>
              <w:t>11 años</w:t>
            </w:r>
          </w:p>
        </w:tc>
      </w:tr>
      <w:tr w:rsidR="00B868B9" w:rsidRPr="00B94BD4" w:rsidTr="00B868B9">
        <w:tc>
          <w:tcPr>
            <w:tcW w:w="634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2037-38</w:t>
            </w:r>
          </w:p>
        </w:tc>
        <w:tc>
          <w:tcPr>
            <w:tcW w:w="1245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6.5</w:t>
            </w:r>
          </w:p>
        </w:tc>
        <w:tc>
          <w:tcPr>
            <w:tcW w:w="1301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-6.1</w:t>
            </w:r>
          </w:p>
        </w:tc>
        <w:tc>
          <w:tcPr>
            <w:tcW w:w="1178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Anomalía FF</w:t>
            </w:r>
          </w:p>
        </w:tc>
        <w:tc>
          <w:tcPr>
            <w:tcW w:w="642" w:type="pct"/>
          </w:tcPr>
          <w:p w:rsidR="00B868B9" w:rsidRPr="00B94BD4" w:rsidRDefault="00B868B9" w:rsidP="00B94BD4">
            <w:pPr>
              <w:jc w:val="center"/>
              <w:rPr>
                <w:sz w:val="28"/>
                <w:szCs w:val="28"/>
                <w:lang w:val="es-ES_tradnl"/>
              </w:rPr>
            </w:pPr>
            <w:r w:rsidRPr="00B94BD4">
              <w:rPr>
                <w:sz w:val="28"/>
                <w:szCs w:val="28"/>
                <w:lang w:val="es-ES_tradnl"/>
              </w:rPr>
              <w:t>14 años</w:t>
            </w:r>
          </w:p>
        </w:tc>
      </w:tr>
    </w:tbl>
    <w:p w:rsidR="00AC368E" w:rsidRPr="00541BFA" w:rsidRDefault="002E444B" w:rsidP="00541BFA">
      <w:pPr>
        <w:pStyle w:val="Sinespaciado"/>
        <w:jc w:val="center"/>
        <w:rPr>
          <w:sz w:val="24"/>
          <w:szCs w:val="24"/>
          <w:lang w:val="es-ES_tradnl"/>
        </w:rPr>
      </w:pPr>
      <w:bookmarkStart w:id="0" w:name="_GoBack"/>
      <w:bookmarkEnd w:id="0"/>
      <w:r w:rsidRPr="00541BFA">
        <w:rPr>
          <w:sz w:val="24"/>
          <w:szCs w:val="24"/>
          <w:lang w:val="es-ES_tradnl"/>
        </w:rPr>
        <w:t>CON ESTOS GRAFICOS SEÑORES DAMOS FE DE LAS VERSIONES DE LA NOA</w:t>
      </w:r>
      <w:r w:rsidR="00F8582A" w:rsidRPr="00541BFA">
        <w:rPr>
          <w:sz w:val="24"/>
          <w:szCs w:val="24"/>
          <w:lang w:val="es-ES_tradnl"/>
        </w:rPr>
        <w:t>.</w:t>
      </w:r>
    </w:p>
    <w:p w:rsidR="00B868B9" w:rsidRPr="00541BFA" w:rsidRDefault="002E444B" w:rsidP="00541BFA">
      <w:pPr>
        <w:pStyle w:val="Sinespaciado"/>
        <w:jc w:val="center"/>
        <w:rPr>
          <w:sz w:val="24"/>
          <w:szCs w:val="24"/>
          <w:lang w:val="es-ES_tradnl"/>
        </w:rPr>
      </w:pPr>
      <w:r w:rsidRPr="00541BFA">
        <w:rPr>
          <w:sz w:val="24"/>
          <w:szCs w:val="24"/>
          <w:lang w:val="es-ES_tradnl"/>
        </w:rPr>
        <w:t>MIL GRACIAS POR</w:t>
      </w:r>
      <w:r w:rsidR="00F8582A" w:rsidRPr="00541BFA">
        <w:rPr>
          <w:sz w:val="24"/>
          <w:szCs w:val="24"/>
          <w:lang w:val="es-ES_tradnl"/>
        </w:rPr>
        <w:t xml:space="preserve"> </w:t>
      </w:r>
      <w:r w:rsidRPr="00541BFA">
        <w:rPr>
          <w:sz w:val="24"/>
          <w:szCs w:val="24"/>
          <w:lang w:val="es-ES_tradnl"/>
        </w:rPr>
        <w:t>SU CONSIDERACION.</w:t>
      </w:r>
    </w:p>
    <w:sectPr w:rsidR="00B868B9" w:rsidRPr="00541BFA" w:rsidSect="00B868B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CA9"/>
    <w:multiLevelType w:val="hybridMultilevel"/>
    <w:tmpl w:val="DFC4DB7C"/>
    <w:lvl w:ilvl="0" w:tplc="DB5CD806">
      <w:start w:val="14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B9"/>
    <w:rsid w:val="00272237"/>
    <w:rsid w:val="002E444B"/>
    <w:rsid w:val="00502F5B"/>
    <w:rsid w:val="00541BFA"/>
    <w:rsid w:val="007C0A49"/>
    <w:rsid w:val="007D1AAE"/>
    <w:rsid w:val="00AC368E"/>
    <w:rsid w:val="00B868B9"/>
    <w:rsid w:val="00B94BD4"/>
    <w:rsid w:val="00BC75C4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bCs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B9"/>
    <w:rPr>
      <w:rFonts w:asciiTheme="minorHAnsi" w:hAnsiTheme="minorHAnsi" w:cstheme="minorBidi"/>
      <w:bCs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8B9"/>
    <w:pPr>
      <w:ind w:left="720"/>
      <w:contextualSpacing/>
    </w:pPr>
  </w:style>
  <w:style w:type="paragraph" w:styleId="Sinespaciado">
    <w:name w:val="No Spacing"/>
    <w:uiPriority w:val="1"/>
    <w:qFormat/>
    <w:rsid w:val="00B868B9"/>
    <w:pPr>
      <w:spacing w:after="0" w:line="240" w:lineRule="auto"/>
    </w:pPr>
    <w:rPr>
      <w:rFonts w:asciiTheme="minorHAnsi" w:hAnsiTheme="minorHAnsi" w:cstheme="minorBidi"/>
      <w:bCs w:val="0"/>
      <w:sz w:val="22"/>
    </w:rPr>
  </w:style>
  <w:style w:type="table" w:styleId="Tablaconcuadrcula">
    <w:name w:val="Table Grid"/>
    <w:basedOn w:val="Tablanormal"/>
    <w:uiPriority w:val="59"/>
    <w:rsid w:val="00B8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bCs/>
        <w:sz w:val="24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B9"/>
    <w:rPr>
      <w:rFonts w:asciiTheme="minorHAnsi" w:hAnsiTheme="minorHAnsi" w:cstheme="minorBidi"/>
      <w:bCs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8B9"/>
    <w:pPr>
      <w:ind w:left="720"/>
      <w:contextualSpacing/>
    </w:pPr>
  </w:style>
  <w:style w:type="paragraph" w:styleId="Sinespaciado">
    <w:name w:val="No Spacing"/>
    <w:uiPriority w:val="1"/>
    <w:qFormat/>
    <w:rsid w:val="00B868B9"/>
    <w:pPr>
      <w:spacing w:after="0" w:line="240" w:lineRule="auto"/>
    </w:pPr>
    <w:rPr>
      <w:rFonts w:asciiTheme="minorHAnsi" w:hAnsiTheme="minorHAnsi" w:cstheme="minorBidi"/>
      <w:bCs w:val="0"/>
      <w:sz w:val="22"/>
    </w:rPr>
  </w:style>
  <w:style w:type="table" w:styleId="Tablaconcuadrcula">
    <w:name w:val="Table Grid"/>
    <w:basedOn w:val="Tablanormal"/>
    <w:uiPriority w:val="59"/>
    <w:rsid w:val="00B8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maestrodellaves</cp:lastModifiedBy>
  <cp:revision>2</cp:revision>
  <cp:lastPrinted>2014-03-12T21:51:00Z</cp:lastPrinted>
  <dcterms:created xsi:type="dcterms:W3CDTF">2014-03-12T22:29:00Z</dcterms:created>
  <dcterms:modified xsi:type="dcterms:W3CDTF">2014-03-12T22:29:00Z</dcterms:modified>
</cp:coreProperties>
</file>