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0EC8E" w14:textId="58814EEE" w:rsidR="00CA3362" w:rsidRDefault="00BC6CEA" w:rsidP="001A7E28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</w:p>
    <w:p w14:paraId="72DBF7E7" w14:textId="73BDEF47" w:rsidR="00B54E84" w:rsidRDefault="005F0595" w:rsidP="00E8082D">
      <w:pPr>
        <w:spacing w:after="0" w:line="240" w:lineRule="auto"/>
        <w:jc w:val="center"/>
        <w:rPr>
          <w:rFonts w:cs="Arial"/>
          <w:b/>
          <w:sz w:val="34"/>
          <w:szCs w:val="34"/>
          <w:shd w:val="clear" w:color="auto" w:fill="FFFFFF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5891696F" wp14:editId="5D869DB7">
            <wp:extent cx="2869643" cy="1114425"/>
            <wp:effectExtent l="0" t="0" r="6985" b="0"/>
            <wp:docPr id="1" name="Imagen 1" descr="S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63" cy="111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5FE2" w14:textId="77777777" w:rsidR="005F0595" w:rsidRDefault="005F0595" w:rsidP="00E8082D">
      <w:pPr>
        <w:spacing w:after="0" w:line="240" w:lineRule="auto"/>
        <w:jc w:val="center"/>
        <w:rPr>
          <w:rFonts w:cs="Arial"/>
          <w:b/>
          <w:sz w:val="34"/>
          <w:szCs w:val="34"/>
          <w:shd w:val="clear" w:color="auto" w:fill="FFFFFF"/>
        </w:rPr>
      </w:pPr>
    </w:p>
    <w:p w14:paraId="6AE213AC" w14:textId="77777777" w:rsidR="003E62FB" w:rsidRDefault="00B3347A" w:rsidP="00E8082D">
      <w:pPr>
        <w:spacing w:after="0" w:line="240" w:lineRule="auto"/>
        <w:jc w:val="center"/>
        <w:rPr>
          <w:rFonts w:cs="Arial"/>
          <w:b/>
          <w:sz w:val="34"/>
          <w:szCs w:val="34"/>
          <w:shd w:val="clear" w:color="auto" w:fill="FFFFFF"/>
        </w:rPr>
      </w:pPr>
      <w:r w:rsidRPr="00B3347A">
        <w:rPr>
          <w:rFonts w:cs="Arial"/>
          <w:b/>
          <w:sz w:val="34"/>
          <w:szCs w:val="34"/>
          <w:shd w:val="clear" w:color="auto" w:fill="FFFFFF"/>
        </w:rPr>
        <w:t>OEFA reconoce a empresas de la SNP</w:t>
      </w:r>
    </w:p>
    <w:p w14:paraId="2B9AC21C" w14:textId="7E198D2A" w:rsidR="00CD56D6" w:rsidRPr="00B3347A" w:rsidRDefault="00B3347A" w:rsidP="00E8082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proofErr w:type="gramStart"/>
      <w:r w:rsidRPr="00B3347A">
        <w:rPr>
          <w:rFonts w:cs="Arial"/>
          <w:b/>
          <w:sz w:val="34"/>
          <w:szCs w:val="34"/>
          <w:shd w:val="clear" w:color="auto" w:fill="FFFFFF"/>
        </w:rPr>
        <w:t>por</w:t>
      </w:r>
      <w:proofErr w:type="gramEnd"/>
      <w:r w:rsidRPr="00B3347A">
        <w:rPr>
          <w:rFonts w:cs="Arial"/>
          <w:b/>
          <w:sz w:val="34"/>
          <w:szCs w:val="34"/>
          <w:shd w:val="clear" w:color="auto" w:fill="FFFFFF"/>
        </w:rPr>
        <w:t xml:space="preserve"> sus Buenas Prácticas Ambientales</w:t>
      </w:r>
      <w:r w:rsidR="00CD56D6" w:rsidRPr="00B3347A">
        <w:rPr>
          <w:rFonts w:cs="Arial"/>
          <w:b/>
          <w:sz w:val="34"/>
          <w:szCs w:val="34"/>
        </w:rPr>
        <w:t xml:space="preserve"> </w:t>
      </w:r>
    </w:p>
    <w:p w14:paraId="2F594597" w14:textId="77777777" w:rsidR="00CD56D6" w:rsidRPr="00B3347A" w:rsidRDefault="00CD56D6" w:rsidP="00E8082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45378950" w14:textId="77777777" w:rsidR="00B3347A" w:rsidRDefault="00B3347A" w:rsidP="00B3347A">
      <w:pPr>
        <w:pStyle w:val="Sinespaciado"/>
        <w:jc w:val="both"/>
        <w:rPr>
          <w:b/>
          <w:lang w:eastAsia="en-US"/>
        </w:rPr>
      </w:pPr>
    </w:p>
    <w:p w14:paraId="76F9EA2B" w14:textId="1F6F1504" w:rsidR="00B3347A" w:rsidRDefault="00B05AE4" w:rsidP="00B3347A">
      <w:pPr>
        <w:pStyle w:val="Sinespaciado"/>
        <w:jc w:val="both"/>
        <w:rPr>
          <w:shd w:val="clear" w:color="auto" w:fill="FFFFFF"/>
        </w:rPr>
      </w:pPr>
      <w:r w:rsidRPr="00BC45BA">
        <w:rPr>
          <w:b/>
          <w:lang w:eastAsia="en-US"/>
        </w:rPr>
        <w:t xml:space="preserve">Lima, </w:t>
      </w:r>
      <w:r w:rsidR="00B3347A">
        <w:rPr>
          <w:b/>
          <w:lang w:eastAsia="en-US"/>
        </w:rPr>
        <w:t xml:space="preserve">3 de noviembre de </w:t>
      </w:r>
      <w:r w:rsidRPr="00BC45BA">
        <w:rPr>
          <w:b/>
          <w:lang w:eastAsia="en-US"/>
        </w:rPr>
        <w:t>2014.-</w:t>
      </w:r>
      <w:r w:rsidR="00B3347A">
        <w:rPr>
          <w:b/>
          <w:lang w:eastAsia="en-US"/>
        </w:rPr>
        <w:t xml:space="preserve"> </w:t>
      </w:r>
      <w:r w:rsidR="00B3347A" w:rsidRPr="00B3347A">
        <w:rPr>
          <w:shd w:val="clear" w:color="auto" w:fill="FFFFFF"/>
        </w:rPr>
        <w:t>El Organismo de Evaluación y Fiscalización Ambiental (OEFA) presentó el Registro de Buenas Prácticas Ambientales con la lista de las 35 empresas que cumplen la totalidad de sus obligaciones ambientales, entr</w:t>
      </w:r>
      <w:r w:rsidR="005F0595">
        <w:rPr>
          <w:shd w:val="clear" w:color="auto" w:fill="FFFFFF"/>
        </w:rPr>
        <w:t>e</w:t>
      </w:r>
      <w:r w:rsidR="00B3347A" w:rsidRPr="00B3347A">
        <w:rPr>
          <w:shd w:val="clear" w:color="auto" w:fill="FFFFFF"/>
        </w:rPr>
        <w:t xml:space="preserve"> las que se encuentran seis empresas miembro de la Sociedad Nacional de Pesquería, que acreditaron siete unidades fiscalizables.</w:t>
      </w:r>
    </w:p>
    <w:p w14:paraId="5411AD70" w14:textId="77777777" w:rsidR="00B3347A" w:rsidRDefault="00B3347A" w:rsidP="00B3347A">
      <w:pPr>
        <w:pStyle w:val="Sinespaciado"/>
        <w:jc w:val="both"/>
        <w:rPr>
          <w:shd w:val="clear" w:color="auto" w:fill="FFFFFF"/>
        </w:rPr>
      </w:pPr>
    </w:p>
    <w:p w14:paraId="4B79566F" w14:textId="167169EC" w:rsidR="00B3347A" w:rsidRPr="00B3347A" w:rsidRDefault="00B3347A" w:rsidP="00B3347A">
      <w:pPr>
        <w:pStyle w:val="Sinespaciado"/>
        <w:jc w:val="both"/>
      </w:pPr>
      <w:r w:rsidRPr="00B3347A">
        <w:t>Se trata de Austral Group (con su Establecimiento Industrial Pesquero de Chancay), CFG Investment (EIP Chancay), Corporación Pesquera Inca-Copeinca (EIP Sechura), Pesquera Diamante (EIP Sechura y EIP Supe), Pesquera Hayduk (EIP Tambo de Mora) y Tecnológica de Alimentos-TASA (EIP Paita).</w:t>
      </w:r>
      <w:r w:rsidR="00145274">
        <w:t xml:space="preserve">  </w:t>
      </w:r>
      <w:bookmarkStart w:id="0" w:name="_GoBack"/>
      <w:bookmarkEnd w:id="0"/>
      <w:r w:rsidRPr="00B3347A">
        <w:t>Dichas unidades fiscalizables y sus empresas permanecerán en el Registro de Buenas Prácticas Ambientales del OEFA durante dos años, de acuerdo al plazo establecido en el reglamento aprobado el 25 de octubre del 2014.</w:t>
      </w:r>
    </w:p>
    <w:p w14:paraId="7E9BA3EA" w14:textId="77777777" w:rsidR="00B3347A" w:rsidRDefault="00B3347A" w:rsidP="00B3347A">
      <w:pPr>
        <w:pStyle w:val="Sinespaciado"/>
        <w:jc w:val="both"/>
      </w:pPr>
    </w:p>
    <w:p w14:paraId="55D1307B" w14:textId="64F8F5A9" w:rsidR="00B3347A" w:rsidRPr="00B3347A" w:rsidRDefault="00B3347A" w:rsidP="00B3347A">
      <w:pPr>
        <w:pStyle w:val="Sinespaciado"/>
        <w:jc w:val="both"/>
      </w:pPr>
      <w:r w:rsidRPr="00B3347A">
        <w:t>E</w:t>
      </w:r>
      <w:r>
        <w:t>l</w:t>
      </w:r>
      <w:r w:rsidRPr="00B3347A">
        <w:t xml:space="preserve"> objetivo de este registro es propiciar la difusión de las buenas prácticas realizadas por las empresas que cumplen sus obligaciones ambientales y se encuentren bajo la competencia del OEFA.</w:t>
      </w:r>
      <w:r>
        <w:t xml:space="preserve"> </w:t>
      </w:r>
      <w:r w:rsidRPr="00B3347A">
        <w:t>Actualmente, el Registro de Buenas Prácticas Ambientales se encuentra en la web institucional</w:t>
      </w:r>
      <w:r w:rsidRPr="00B3347A">
        <w:rPr>
          <w:rStyle w:val="apple-converted-space"/>
          <w:rFonts w:cs="Arial"/>
        </w:rPr>
        <w:t> </w:t>
      </w:r>
      <w:hyperlink r:id="rId9" w:history="1">
        <w:r w:rsidRPr="00B3347A">
          <w:rPr>
            <w:rStyle w:val="Hipervnculo"/>
            <w:rFonts w:cs="Arial"/>
            <w:color w:val="auto"/>
          </w:rPr>
          <w:t>www.oefa.gob.pe</w:t>
        </w:r>
      </w:hyperlink>
      <w:r w:rsidRPr="00B3347A">
        <w:rPr>
          <w:rStyle w:val="apple-converted-space"/>
          <w:rFonts w:cs="Arial"/>
        </w:rPr>
        <w:t> </w:t>
      </w:r>
      <w:r w:rsidRPr="00B3347A">
        <w:t>y puede ser consultado gratuitamente a través de este enlace:</w:t>
      </w:r>
      <w:r w:rsidRPr="00B3347A">
        <w:rPr>
          <w:rStyle w:val="apple-converted-space"/>
          <w:rFonts w:cs="Arial"/>
        </w:rPr>
        <w:t> </w:t>
      </w:r>
      <w:hyperlink r:id="rId10" w:history="1">
        <w:r w:rsidRPr="00B3347A">
          <w:rPr>
            <w:rStyle w:val="Hipervnculo"/>
            <w:rFonts w:cs="Arial"/>
            <w:color w:val="auto"/>
          </w:rPr>
          <w:t>http://www.oefa.gob.pe/registro-buenas-practicas-ambientales</w:t>
        </w:r>
      </w:hyperlink>
      <w:r>
        <w:t xml:space="preserve"> </w:t>
      </w:r>
    </w:p>
    <w:p w14:paraId="06F00EE1" w14:textId="77777777" w:rsidR="00117B79" w:rsidRDefault="00117B79" w:rsidP="00117B79">
      <w:pPr>
        <w:rPr>
          <w:rFonts w:ascii="Calibri" w:hAnsi="Calibri" w:cs="Arial"/>
          <w:sz w:val="24"/>
          <w:szCs w:val="24"/>
          <w:highlight w:val="white"/>
          <w:lang w:val="es-ES"/>
        </w:rPr>
      </w:pPr>
    </w:p>
    <w:p w14:paraId="4297E999" w14:textId="77777777" w:rsidR="005E01F9" w:rsidRPr="003A3B9C" w:rsidRDefault="005E01F9" w:rsidP="005E01F9">
      <w:pPr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Verdana"/>
          <w:noProof/>
          <w:color w:val="666666"/>
          <w:sz w:val="15"/>
          <w:szCs w:val="15"/>
        </w:rPr>
        <w:drawing>
          <wp:inline distT="0" distB="0" distL="0" distR="0" wp14:anchorId="67C552CB" wp14:editId="1806362D">
            <wp:extent cx="307975" cy="298450"/>
            <wp:effectExtent l="0" t="0" r="0" b="635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3A3B9C">
          <w:rPr>
            <w:rStyle w:val="Hipervnculo"/>
            <w:rFonts w:ascii="Calibri" w:hAnsi="Calibri" w:cs="Calibri"/>
            <w:sz w:val="20"/>
            <w:szCs w:val="20"/>
            <w:lang w:val="es-ES"/>
          </w:rPr>
          <w:t>www.youtube.com/SNPactividades</w:t>
        </w:r>
      </w:hyperlink>
      <w:r w:rsidRPr="003A3B9C">
        <w:rPr>
          <w:rFonts w:ascii="Calibri" w:hAnsi="Calibri" w:cs="Calibri"/>
          <w:sz w:val="20"/>
          <w:szCs w:val="20"/>
          <w:lang w:val="es-ES"/>
        </w:rPr>
        <w:t xml:space="preserve">  </w:t>
      </w: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1591C90" wp14:editId="12A98D58">
            <wp:extent cx="318135" cy="318135"/>
            <wp:effectExtent l="0" t="0" r="12065" b="1206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3A3B9C">
          <w:rPr>
            <w:rStyle w:val="Hipervnculo"/>
            <w:rFonts w:ascii="Calibri" w:hAnsi="Calibri" w:cs="Calibri"/>
            <w:sz w:val="20"/>
            <w:szCs w:val="20"/>
            <w:lang w:val="es-ES"/>
          </w:rPr>
          <w:t>www.twitter.com/snp_peru</w:t>
        </w:r>
      </w:hyperlink>
    </w:p>
    <w:p w14:paraId="58E963F4" w14:textId="77777777" w:rsidR="006F1505" w:rsidRPr="006F1505" w:rsidRDefault="005E01F9" w:rsidP="005E01F9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0DA011F5" wp14:editId="50DDA531">
            <wp:extent cx="278130" cy="278130"/>
            <wp:effectExtent l="0" t="0" r="1270" b="127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3A3B9C">
          <w:rPr>
            <w:rStyle w:val="Hipervnculo"/>
            <w:rFonts w:ascii="Calibri" w:hAnsi="Calibri" w:cs="Calibri"/>
            <w:sz w:val="20"/>
            <w:szCs w:val="20"/>
            <w:lang w:val="es-ES"/>
          </w:rPr>
          <w:t>www.facebook.com/SNPPeru</w:t>
        </w:r>
      </w:hyperlink>
    </w:p>
    <w:sectPr w:rsidR="006F1505" w:rsidRPr="006F1505" w:rsidSect="002D3A05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106CD" w14:textId="77777777" w:rsidR="00DE7BBC" w:rsidRDefault="00DE7BBC" w:rsidP="0059569F">
      <w:pPr>
        <w:spacing w:after="0" w:line="240" w:lineRule="auto"/>
      </w:pPr>
      <w:r>
        <w:separator/>
      </w:r>
    </w:p>
  </w:endnote>
  <w:endnote w:type="continuationSeparator" w:id="0">
    <w:p w14:paraId="24025D34" w14:textId="77777777" w:rsidR="00DE7BBC" w:rsidRDefault="00DE7BBC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C9748" w14:textId="77777777" w:rsidR="00DE7BBC" w:rsidRDefault="00DE7BBC" w:rsidP="0059569F">
      <w:pPr>
        <w:spacing w:after="0" w:line="240" w:lineRule="auto"/>
      </w:pPr>
      <w:r>
        <w:separator/>
      </w:r>
    </w:p>
  </w:footnote>
  <w:footnote w:type="continuationSeparator" w:id="0">
    <w:p w14:paraId="04DF3C18" w14:textId="77777777" w:rsidR="00DE7BBC" w:rsidRDefault="00DE7BBC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B6"/>
    <w:multiLevelType w:val="multilevel"/>
    <w:tmpl w:val="052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76606"/>
    <w:multiLevelType w:val="multilevel"/>
    <w:tmpl w:val="8BA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7B4877"/>
    <w:multiLevelType w:val="multilevel"/>
    <w:tmpl w:val="792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A222E"/>
    <w:multiLevelType w:val="hybridMultilevel"/>
    <w:tmpl w:val="0BECA3DA"/>
    <w:lvl w:ilvl="0" w:tplc="8DB6E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8C2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67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8BC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C93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07B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A99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AC7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8FD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E0C9C"/>
    <w:multiLevelType w:val="hybridMultilevel"/>
    <w:tmpl w:val="D646D386"/>
    <w:lvl w:ilvl="0" w:tplc="45262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4F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C3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E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63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CE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C8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28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459F5"/>
    <w:multiLevelType w:val="multilevel"/>
    <w:tmpl w:val="BF3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030611"/>
    <w:multiLevelType w:val="multilevel"/>
    <w:tmpl w:val="B8E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2D44D0"/>
    <w:multiLevelType w:val="hybridMultilevel"/>
    <w:tmpl w:val="2D7447CE"/>
    <w:lvl w:ilvl="0" w:tplc="30AA34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84D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68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E8D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0F5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2A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08A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C91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82E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0155E"/>
    <w:multiLevelType w:val="hybridMultilevel"/>
    <w:tmpl w:val="DC58DD38"/>
    <w:lvl w:ilvl="0" w:tplc="308E2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42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8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A8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8B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44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AB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83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28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143C3"/>
    <w:multiLevelType w:val="hybridMultilevel"/>
    <w:tmpl w:val="C19271E8"/>
    <w:lvl w:ilvl="0" w:tplc="44108B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C1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E16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6D9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619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00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ED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79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A9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362E2"/>
    <w:multiLevelType w:val="hybridMultilevel"/>
    <w:tmpl w:val="80A4A40E"/>
    <w:lvl w:ilvl="0" w:tplc="4E465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004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6F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6E8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E2B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EAD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2E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071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E67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2193E"/>
    <w:multiLevelType w:val="hybridMultilevel"/>
    <w:tmpl w:val="1BBEA3C6"/>
    <w:lvl w:ilvl="0" w:tplc="8084E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6D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C9F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AA1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26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48C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2F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AC9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096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62BF1"/>
    <w:multiLevelType w:val="multilevel"/>
    <w:tmpl w:val="F6B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30D5D"/>
    <w:rsid w:val="00032306"/>
    <w:rsid w:val="00032578"/>
    <w:rsid w:val="000376A8"/>
    <w:rsid w:val="000525A5"/>
    <w:rsid w:val="0007001C"/>
    <w:rsid w:val="0009293C"/>
    <w:rsid w:val="00094EE2"/>
    <w:rsid w:val="000B39AF"/>
    <w:rsid w:val="00115A76"/>
    <w:rsid w:val="00117B79"/>
    <w:rsid w:val="001201E2"/>
    <w:rsid w:val="00131BF6"/>
    <w:rsid w:val="00145274"/>
    <w:rsid w:val="00156B9D"/>
    <w:rsid w:val="001A7E28"/>
    <w:rsid w:val="001E6095"/>
    <w:rsid w:val="001E7100"/>
    <w:rsid w:val="002078A5"/>
    <w:rsid w:val="00225510"/>
    <w:rsid w:val="002507D0"/>
    <w:rsid w:val="00263CE0"/>
    <w:rsid w:val="002C7DB4"/>
    <w:rsid w:val="002D3A05"/>
    <w:rsid w:val="002D7DE4"/>
    <w:rsid w:val="00335973"/>
    <w:rsid w:val="00336787"/>
    <w:rsid w:val="00345723"/>
    <w:rsid w:val="0037262E"/>
    <w:rsid w:val="00390DFA"/>
    <w:rsid w:val="003C49E3"/>
    <w:rsid w:val="003E62FB"/>
    <w:rsid w:val="00400CC9"/>
    <w:rsid w:val="0043461B"/>
    <w:rsid w:val="0043671C"/>
    <w:rsid w:val="00437B4B"/>
    <w:rsid w:val="00463767"/>
    <w:rsid w:val="00497843"/>
    <w:rsid w:val="004A0F6C"/>
    <w:rsid w:val="004A2111"/>
    <w:rsid w:val="004E4D43"/>
    <w:rsid w:val="00514FF9"/>
    <w:rsid w:val="005352A1"/>
    <w:rsid w:val="00537B54"/>
    <w:rsid w:val="0054232F"/>
    <w:rsid w:val="0059569F"/>
    <w:rsid w:val="005B0624"/>
    <w:rsid w:val="005B6C33"/>
    <w:rsid w:val="005C1D26"/>
    <w:rsid w:val="005C3DE4"/>
    <w:rsid w:val="005D353E"/>
    <w:rsid w:val="005E01F9"/>
    <w:rsid w:val="005E672A"/>
    <w:rsid w:val="005F0595"/>
    <w:rsid w:val="00636200"/>
    <w:rsid w:val="006511BA"/>
    <w:rsid w:val="00661507"/>
    <w:rsid w:val="00674E8A"/>
    <w:rsid w:val="00686898"/>
    <w:rsid w:val="006B3A7D"/>
    <w:rsid w:val="006B5763"/>
    <w:rsid w:val="006E0935"/>
    <w:rsid w:val="006F1505"/>
    <w:rsid w:val="006F365A"/>
    <w:rsid w:val="007013E5"/>
    <w:rsid w:val="00701746"/>
    <w:rsid w:val="007228BB"/>
    <w:rsid w:val="00727152"/>
    <w:rsid w:val="007502F6"/>
    <w:rsid w:val="00754A7F"/>
    <w:rsid w:val="007B4540"/>
    <w:rsid w:val="007C45E8"/>
    <w:rsid w:val="007F1611"/>
    <w:rsid w:val="00810283"/>
    <w:rsid w:val="008313B6"/>
    <w:rsid w:val="00845D6B"/>
    <w:rsid w:val="00851434"/>
    <w:rsid w:val="0089061C"/>
    <w:rsid w:val="008930EB"/>
    <w:rsid w:val="008A7684"/>
    <w:rsid w:val="008B793D"/>
    <w:rsid w:val="008E281C"/>
    <w:rsid w:val="00946562"/>
    <w:rsid w:val="00961D2B"/>
    <w:rsid w:val="0097094C"/>
    <w:rsid w:val="0099650B"/>
    <w:rsid w:val="009A6495"/>
    <w:rsid w:val="009C762B"/>
    <w:rsid w:val="009D115A"/>
    <w:rsid w:val="009D3334"/>
    <w:rsid w:val="009D7D70"/>
    <w:rsid w:val="009E385D"/>
    <w:rsid w:val="009F6F7B"/>
    <w:rsid w:val="00A05DBB"/>
    <w:rsid w:val="00A35229"/>
    <w:rsid w:val="00A47F8A"/>
    <w:rsid w:val="00A74D98"/>
    <w:rsid w:val="00A75C97"/>
    <w:rsid w:val="00A769C8"/>
    <w:rsid w:val="00AC14F8"/>
    <w:rsid w:val="00AE612B"/>
    <w:rsid w:val="00AF0BFB"/>
    <w:rsid w:val="00AF3D25"/>
    <w:rsid w:val="00B05AE4"/>
    <w:rsid w:val="00B3347A"/>
    <w:rsid w:val="00B44C63"/>
    <w:rsid w:val="00B44CC5"/>
    <w:rsid w:val="00B54E84"/>
    <w:rsid w:val="00B82E81"/>
    <w:rsid w:val="00BB0731"/>
    <w:rsid w:val="00BC45BA"/>
    <w:rsid w:val="00BC6CEA"/>
    <w:rsid w:val="00BC7B7C"/>
    <w:rsid w:val="00C82808"/>
    <w:rsid w:val="00C9510C"/>
    <w:rsid w:val="00CA3362"/>
    <w:rsid w:val="00CB1ABB"/>
    <w:rsid w:val="00CD5019"/>
    <w:rsid w:val="00CD56D6"/>
    <w:rsid w:val="00D344FC"/>
    <w:rsid w:val="00D51899"/>
    <w:rsid w:val="00D73014"/>
    <w:rsid w:val="00D7327F"/>
    <w:rsid w:val="00D73E91"/>
    <w:rsid w:val="00D96579"/>
    <w:rsid w:val="00DB5CF2"/>
    <w:rsid w:val="00DC05C1"/>
    <w:rsid w:val="00DE7BBC"/>
    <w:rsid w:val="00DF0755"/>
    <w:rsid w:val="00E20548"/>
    <w:rsid w:val="00E45A6C"/>
    <w:rsid w:val="00E5149A"/>
    <w:rsid w:val="00E77973"/>
    <w:rsid w:val="00E8082D"/>
    <w:rsid w:val="00EB349D"/>
    <w:rsid w:val="00EF7F41"/>
    <w:rsid w:val="00F02C2D"/>
    <w:rsid w:val="00F27EF6"/>
    <w:rsid w:val="00F87914"/>
    <w:rsid w:val="00FA751A"/>
    <w:rsid w:val="00FD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1C9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F"/>
  </w:style>
  <w:style w:type="paragraph" w:styleId="Piedepgina">
    <w:name w:val="footer"/>
    <w:basedOn w:val="Normal"/>
    <w:link w:val="Piedepgina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69F"/>
  </w:style>
  <w:style w:type="character" w:customStyle="1" w:styleId="apple-converted-space">
    <w:name w:val="apple-converted-space"/>
    <w:basedOn w:val="Fuentedeprrafopredeter"/>
    <w:rsid w:val="009A6495"/>
  </w:style>
  <w:style w:type="character" w:styleId="Hipervnculo">
    <w:name w:val="Hyperlink"/>
    <w:basedOn w:val="Fuentedeprrafopredeter"/>
    <w:uiPriority w:val="99"/>
    <w:unhideWhenUsed/>
    <w:rsid w:val="009A64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232F"/>
    <w:pPr>
      <w:autoSpaceDN w:val="0"/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rmalWeb">
    <w:name w:val="Normal (Web)"/>
    <w:basedOn w:val="Normal"/>
    <w:uiPriority w:val="99"/>
    <w:unhideWhenUsed/>
    <w:rsid w:val="0054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8082D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14FF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4FF9"/>
    <w:rPr>
      <w:rFonts w:ascii="Calibri" w:eastAsia="Calibri" w:hAnsi="Calibri" w:cs="Times New Roman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3347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3347A"/>
    <w:rPr>
      <w:rFonts w:ascii="Calibri" w:eastAsiaTheme="minorHAnsi" w:hAnsi="Calibri"/>
      <w:szCs w:val="21"/>
      <w:lang w:eastAsia="en-US"/>
    </w:rPr>
  </w:style>
  <w:style w:type="paragraph" w:styleId="Sinespaciado">
    <w:name w:val="No Spacing"/>
    <w:uiPriority w:val="1"/>
    <w:qFormat/>
    <w:rsid w:val="00B3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F"/>
  </w:style>
  <w:style w:type="paragraph" w:styleId="Piedepgina">
    <w:name w:val="footer"/>
    <w:basedOn w:val="Normal"/>
    <w:link w:val="Piedepgina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69F"/>
  </w:style>
  <w:style w:type="character" w:customStyle="1" w:styleId="apple-converted-space">
    <w:name w:val="apple-converted-space"/>
    <w:basedOn w:val="Fuentedeprrafopredeter"/>
    <w:rsid w:val="009A6495"/>
  </w:style>
  <w:style w:type="character" w:styleId="Hipervnculo">
    <w:name w:val="Hyperlink"/>
    <w:basedOn w:val="Fuentedeprrafopredeter"/>
    <w:uiPriority w:val="99"/>
    <w:unhideWhenUsed/>
    <w:rsid w:val="009A64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232F"/>
    <w:pPr>
      <w:autoSpaceDN w:val="0"/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rmalWeb">
    <w:name w:val="Normal (Web)"/>
    <w:basedOn w:val="Normal"/>
    <w:uiPriority w:val="99"/>
    <w:unhideWhenUsed/>
    <w:rsid w:val="0054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8082D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14FF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4FF9"/>
    <w:rPr>
      <w:rFonts w:ascii="Calibri" w:eastAsia="Calibri" w:hAnsi="Calibri" w:cs="Times New Roman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3347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3347A"/>
    <w:rPr>
      <w:rFonts w:ascii="Calibri" w:eastAsiaTheme="minorHAnsi" w:hAnsi="Calibri"/>
      <w:szCs w:val="21"/>
      <w:lang w:eastAsia="en-US"/>
    </w:rPr>
  </w:style>
  <w:style w:type="paragraph" w:styleId="Sinespaciado">
    <w:name w:val="No Spacing"/>
    <w:uiPriority w:val="1"/>
    <w:qFormat/>
    <w:rsid w:val="00B3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5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7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46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687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57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00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4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583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SNPactividad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SNPPe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oefa.gob.pe/registro-buenas-practicas-ambient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fa.gob.pe/" TargetMode="External"/><Relationship Id="rId14" Type="http://schemas.openxmlformats.org/officeDocument/2006/relationships/hyperlink" Target="http://www.twitter.com/snp_pe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20141103.NP OEFA reconoce a empresas de la SNP por sus Buenas Prácticas Ambientales</vt:lpstr>
    </vt:vector>
  </TitlesOfParts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20141103.NP OEFA reconoce a empresas de la SNP por sus Buenas Prácticas Ambientales</dc:title>
  <dc:creator/>
  <cp:lastModifiedBy/>
  <cp:revision>1</cp:revision>
  <dcterms:created xsi:type="dcterms:W3CDTF">2014-11-03T19:04:00Z</dcterms:created>
  <dcterms:modified xsi:type="dcterms:W3CDTF">2014-11-03T19:04:00Z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