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E93C" w14:textId="77777777" w:rsidR="00E20D2E" w:rsidRDefault="00F74DA0" w:rsidP="0000699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0000"/>
        </w:rPr>
        <w:t>NOTA DE PRENSA</w:t>
      </w:r>
    </w:p>
    <w:p w14:paraId="791A41F7" w14:textId="77777777" w:rsidR="00E20D2E" w:rsidRPr="00E20D2E" w:rsidRDefault="00E20D2E" w:rsidP="00E20D2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Century Gothic" w:eastAsia="Century Gothic" w:hAnsi="Century Gothic" w:cs="Century Gothic"/>
          <w:b/>
          <w:color w:val="000000"/>
          <w:sz w:val="16"/>
        </w:rPr>
      </w:pPr>
    </w:p>
    <w:p w14:paraId="7F619026" w14:textId="77777777" w:rsidR="00E20D2E" w:rsidRDefault="00E20D2E" w:rsidP="00E20D2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Century Gothic" w:eastAsia="Century Gothic" w:hAnsi="Century Gothic" w:cs="Century Gothic"/>
          <w:color w:val="000000"/>
        </w:rPr>
      </w:pPr>
      <w:r w:rsidRPr="00E20D2E">
        <w:rPr>
          <w:rFonts w:ascii="Century Gothic" w:eastAsia="Century Gothic" w:hAnsi="Century Gothic" w:cs="Century Gothic"/>
          <w:color w:val="000000"/>
        </w:rPr>
        <w:t>Presentación estuvo a cargo del ITP red CITE</w:t>
      </w:r>
    </w:p>
    <w:p w14:paraId="5CE3F677" w14:textId="77777777" w:rsidR="00E20D2E" w:rsidRPr="00E20D2E" w:rsidRDefault="00E20D2E" w:rsidP="00E20D2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Century Gothic" w:eastAsia="Century Gothic" w:hAnsi="Century Gothic" w:cs="Century Gothic"/>
          <w:color w:val="000000"/>
          <w:sz w:val="16"/>
        </w:rPr>
      </w:pPr>
    </w:p>
    <w:p w14:paraId="30732C64" w14:textId="6D22436E" w:rsidR="00E20D2E" w:rsidRDefault="00E20D2E" w:rsidP="00C67558">
      <w:pPr>
        <w:shd w:val="clear" w:color="auto" w:fill="FFFFFF"/>
        <w:spacing w:after="0" w:line="240" w:lineRule="auto"/>
        <w:ind w:left="4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PRESENTAN </w:t>
      </w:r>
      <w:r w:rsidRPr="00E20D2E">
        <w:rPr>
          <w:rFonts w:ascii="Century Gothic" w:eastAsia="Century Gothic" w:hAnsi="Century Gothic" w:cs="Century Gothic"/>
          <w:b/>
          <w:sz w:val="24"/>
          <w:szCs w:val="24"/>
        </w:rPr>
        <w:t>ALTERNATIVA DE</w:t>
      </w:r>
      <w:r w:rsidR="004C1688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“MESA</w:t>
      </w:r>
      <w:r w:rsidRPr="00E20D2E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 NAVIDEÑA”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CON PRODUCTOS </w:t>
      </w:r>
      <w:r w:rsidRPr="00E20D2E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ELABORA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</w:t>
      </w:r>
      <w:r w:rsidR="008B18E4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OS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POR MIPYMES DE DIVERSAS REGIONES DEL PAÍS.</w:t>
      </w:r>
    </w:p>
    <w:p w14:paraId="4D7AC727" w14:textId="77777777" w:rsidR="00E20D2E" w:rsidRPr="00E20D2E" w:rsidRDefault="00E20D2E" w:rsidP="00C67558">
      <w:pPr>
        <w:shd w:val="clear" w:color="auto" w:fill="FFFFFF"/>
        <w:spacing w:after="0" w:line="240" w:lineRule="auto"/>
        <w:ind w:left="4"/>
        <w:jc w:val="center"/>
        <w:rPr>
          <w:rFonts w:ascii="Century Gothic" w:eastAsia="Century Gothic" w:hAnsi="Century Gothic" w:cs="Century Gothic"/>
          <w:b/>
          <w:color w:val="000000"/>
          <w:sz w:val="16"/>
          <w:szCs w:val="24"/>
        </w:rPr>
      </w:pPr>
    </w:p>
    <w:p w14:paraId="7A37004D" w14:textId="77777777" w:rsidR="00E20D2E" w:rsidRPr="004C1688" w:rsidRDefault="00006999" w:rsidP="00E20D2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i/>
          <w:color w:val="000000"/>
          <w:sz w:val="21"/>
          <w:szCs w:val="21"/>
        </w:rPr>
      </w:pPr>
      <w:r w:rsidRPr="004C1688">
        <w:rPr>
          <w:rFonts w:ascii="Century Gothic" w:eastAsia="Century Gothic" w:hAnsi="Century Gothic" w:cs="Century Gothic"/>
          <w:i/>
          <w:color w:val="000000"/>
          <w:sz w:val="21"/>
          <w:szCs w:val="21"/>
        </w:rPr>
        <w:t xml:space="preserve">Opción </w:t>
      </w:r>
      <w:r w:rsidR="00E20D2E" w:rsidRPr="004C1688">
        <w:rPr>
          <w:rFonts w:ascii="Century Gothic" w:eastAsia="Century Gothic" w:hAnsi="Century Gothic" w:cs="Century Gothic"/>
          <w:i/>
          <w:color w:val="000000"/>
          <w:sz w:val="21"/>
          <w:szCs w:val="21"/>
        </w:rPr>
        <w:t xml:space="preserve">busca reemplazar la tradicional cena del 24 y 31 de diciembre </w:t>
      </w:r>
    </w:p>
    <w:p w14:paraId="2B1381B6" w14:textId="77777777" w:rsidR="00E20D2E" w:rsidRPr="004C1688" w:rsidRDefault="00E20D2E" w:rsidP="00E20D2E">
      <w:pPr>
        <w:pStyle w:val="Prrafodelista"/>
        <w:shd w:val="clear" w:color="auto" w:fill="FFFFFF"/>
        <w:spacing w:after="0" w:line="240" w:lineRule="auto"/>
        <w:ind w:left="724"/>
        <w:rPr>
          <w:rFonts w:ascii="Century Gothic" w:eastAsia="Century Gothic" w:hAnsi="Century Gothic" w:cs="Century Gothic"/>
          <w:i/>
          <w:color w:val="000000"/>
          <w:sz w:val="16"/>
          <w:szCs w:val="21"/>
        </w:rPr>
      </w:pPr>
    </w:p>
    <w:p w14:paraId="2663E0C9" w14:textId="77777777" w:rsidR="00C67558" w:rsidRPr="004C1688" w:rsidRDefault="00C67558" w:rsidP="00C67558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i/>
          <w:color w:val="000000"/>
          <w:sz w:val="21"/>
          <w:szCs w:val="21"/>
        </w:rPr>
      </w:pPr>
      <w:r w:rsidRPr="004C1688">
        <w:rPr>
          <w:rFonts w:ascii="Century Gothic" w:eastAsia="Century Gothic" w:hAnsi="Century Gothic" w:cs="Century Gothic"/>
          <w:i/>
          <w:color w:val="000000"/>
          <w:sz w:val="21"/>
          <w:szCs w:val="21"/>
        </w:rPr>
        <w:t xml:space="preserve">Pavo navideño con salsa de arándanos es una propuesta novedosa, así como el muffin con harina de </w:t>
      </w:r>
      <w:proofErr w:type="spellStart"/>
      <w:r w:rsidRPr="004C1688">
        <w:rPr>
          <w:rFonts w:ascii="Century Gothic" w:eastAsia="Century Gothic" w:hAnsi="Century Gothic" w:cs="Century Gothic"/>
          <w:i/>
          <w:color w:val="000000"/>
          <w:sz w:val="21"/>
          <w:szCs w:val="21"/>
        </w:rPr>
        <w:t>tocosh</w:t>
      </w:r>
      <w:proofErr w:type="spellEnd"/>
      <w:r w:rsidRPr="004C1688">
        <w:rPr>
          <w:rFonts w:ascii="Century Gothic" w:eastAsia="Century Gothic" w:hAnsi="Century Gothic" w:cs="Century Gothic"/>
          <w:i/>
          <w:color w:val="000000"/>
          <w:sz w:val="21"/>
          <w:szCs w:val="21"/>
        </w:rPr>
        <w:t xml:space="preserve">, en reemplazo del clásico </w:t>
      </w:r>
      <w:proofErr w:type="spellStart"/>
      <w:r w:rsidRPr="004C1688">
        <w:rPr>
          <w:rFonts w:ascii="Century Gothic" w:eastAsia="Century Gothic" w:hAnsi="Century Gothic" w:cs="Century Gothic"/>
          <w:i/>
          <w:color w:val="000000"/>
          <w:sz w:val="21"/>
          <w:szCs w:val="21"/>
        </w:rPr>
        <w:t>panetón</w:t>
      </w:r>
      <w:proofErr w:type="spellEnd"/>
      <w:r w:rsidRPr="004C1688">
        <w:rPr>
          <w:rFonts w:ascii="Century Gothic" w:eastAsia="Century Gothic" w:hAnsi="Century Gothic" w:cs="Century Gothic"/>
          <w:i/>
          <w:color w:val="000000"/>
          <w:sz w:val="21"/>
          <w:szCs w:val="21"/>
        </w:rPr>
        <w:t>.</w:t>
      </w:r>
    </w:p>
    <w:p w14:paraId="60B3454D" w14:textId="77777777" w:rsidR="00B45312" w:rsidRPr="004C1688" w:rsidRDefault="00B45312" w:rsidP="00E20D2E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6"/>
        </w:rPr>
      </w:pPr>
    </w:p>
    <w:p w14:paraId="58768359" w14:textId="77777777" w:rsidR="00B45312" w:rsidRPr="004C1688" w:rsidRDefault="00B45312" w:rsidP="00E20D2E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Más de 50 productos elaborados por emprendedores de diversas regiones del país que se vieron afectados económicamente por la pandemia COVID 19, </w:t>
      </w:r>
      <w:r w:rsidR="004C1688"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>fueron presentados en la “mesa</w:t>
      </w:r>
      <w:r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navideña innovadora” organizada por el Instituto Tecnológico de la Producción (ITP) red CITE del Ministerio de la Producción (Produce).</w:t>
      </w:r>
    </w:p>
    <w:p w14:paraId="5599C825" w14:textId="77777777" w:rsidR="00006999" w:rsidRPr="004C1688" w:rsidRDefault="00006999" w:rsidP="00E20D2E">
      <w:pPr>
        <w:spacing w:after="0" w:line="264" w:lineRule="auto"/>
        <w:jc w:val="both"/>
        <w:rPr>
          <w:rFonts w:ascii="Century Gothic" w:eastAsia="Century Gothic" w:hAnsi="Century Gothic" w:cs="Century Gothic"/>
          <w:color w:val="000000"/>
          <w:sz w:val="16"/>
          <w:szCs w:val="21"/>
        </w:rPr>
      </w:pPr>
    </w:p>
    <w:p w14:paraId="07A012FB" w14:textId="77777777" w:rsidR="00C67558" w:rsidRPr="004C1688" w:rsidRDefault="00F709E5" w:rsidP="00E20D2E">
      <w:pPr>
        <w:spacing w:after="0" w:line="264" w:lineRule="auto"/>
        <w:jc w:val="both"/>
        <w:rPr>
          <w:rFonts w:ascii="Century Gothic" w:hAnsi="Century Gothic"/>
          <w:sz w:val="21"/>
          <w:szCs w:val="21"/>
        </w:rPr>
      </w:pPr>
      <w:r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Pavo </w:t>
      </w:r>
      <w:r w:rsidR="00C67558"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con salsa de arándanos y muffin con harina de </w:t>
      </w:r>
      <w:proofErr w:type="spellStart"/>
      <w:r w:rsidR="00C67558"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>tocosh</w:t>
      </w:r>
      <w:proofErr w:type="spellEnd"/>
      <w:r w:rsidR="00C67558"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>, en ree</w:t>
      </w:r>
      <w:r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mplazo del tradicional </w:t>
      </w:r>
      <w:proofErr w:type="spellStart"/>
      <w:r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>panetón</w:t>
      </w:r>
      <w:proofErr w:type="spellEnd"/>
      <w:r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, además de </w:t>
      </w:r>
      <w:r w:rsidR="00C67558"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tartaletas de </w:t>
      </w:r>
      <w:r w:rsidR="00C67558" w:rsidRPr="004C1688">
        <w:rPr>
          <w:rFonts w:ascii="Century Gothic" w:hAnsi="Century Gothic"/>
          <w:sz w:val="21"/>
          <w:szCs w:val="21"/>
        </w:rPr>
        <w:t>harina de cáscara de maracuyá con relleno de chocolate de eucalipto</w:t>
      </w:r>
      <w:r w:rsidRPr="004C1688">
        <w:rPr>
          <w:rFonts w:ascii="Century Gothic" w:hAnsi="Century Gothic"/>
          <w:sz w:val="21"/>
          <w:szCs w:val="21"/>
        </w:rPr>
        <w:t xml:space="preserve"> y </w:t>
      </w:r>
      <w:r w:rsidR="00C67558" w:rsidRPr="004C1688">
        <w:rPr>
          <w:rFonts w:ascii="Century Gothic" w:hAnsi="Century Gothic"/>
          <w:sz w:val="21"/>
          <w:szCs w:val="21"/>
        </w:rPr>
        <w:t xml:space="preserve">chifles picantes con queso </w:t>
      </w:r>
      <w:r w:rsidRPr="004C1688">
        <w:rPr>
          <w:rFonts w:ascii="Century Gothic" w:hAnsi="Century Gothic"/>
          <w:sz w:val="21"/>
          <w:szCs w:val="21"/>
        </w:rPr>
        <w:t>cremoso</w:t>
      </w:r>
      <w:r w:rsidR="00C67558" w:rsidRPr="004C1688">
        <w:rPr>
          <w:rFonts w:ascii="Century Gothic" w:hAnsi="Century Gothic"/>
          <w:sz w:val="21"/>
          <w:szCs w:val="21"/>
        </w:rPr>
        <w:t xml:space="preserve"> al paté</w:t>
      </w:r>
      <w:r w:rsidRPr="004C1688">
        <w:rPr>
          <w:rFonts w:ascii="Century Gothic" w:hAnsi="Century Gothic"/>
          <w:sz w:val="21"/>
          <w:szCs w:val="21"/>
        </w:rPr>
        <w:t xml:space="preserve"> de aceitunas, </w:t>
      </w:r>
      <w:r w:rsidR="00612A96"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fueron algunas de las alternativas exhibidas, </w:t>
      </w:r>
      <w:r w:rsidRPr="004C1688">
        <w:rPr>
          <w:rFonts w:ascii="Century Gothic" w:hAnsi="Century Gothic"/>
          <w:sz w:val="21"/>
          <w:szCs w:val="21"/>
        </w:rPr>
        <w:t>entre otr</w:t>
      </w:r>
      <w:r w:rsidR="00612A96" w:rsidRPr="004C1688">
        <w:rPr>
          <w:rFonts w:ascii="Century Gothic" w:hAnsi="Century Gothic"/>
          <w:sz w:val="21"/>
          <w:szCs w:val="21"/>
        </w:rPr>
        <w:t>a</w:t>
      </w:r>
      <w:r w:rsidRPr="004C1688">
        <w:rPr>
          <w:rFonts w:ascii="Century Gothic" w:hAnsi="Century Gothic"/>
          <w:sz w:val="21"/>
          <w:szCs w:val="21"/>
        </w:rPr>
        <w:t>s.</w:t>
      </w:r>
    </w:p>
    <w:p w14:paraId="2304CB00" w14:textId="77777777" w:rsidR="00612A96" w:rsidRPr="004C1688" w:rsidRDefault="00612A96" w:rsidP="00E20D2E">
      <w:pPr>
        <w:spacing w:after="0" w:line="264" w:lineRule="auto"/>
        <w:jc w:val="both"/>
        <w:rPr>
          <w:rFonts w:ascii="Century Gothic" w:hAnsi="Century Gothic"/>
          <w:sz w:val="16"/>
          <w:szCs w:val="21"/>
        </w:rPr>
      </w:pPr>
    </w:p>
    <w:p w14:paraId="09EC9219" w14:textId="524047F5" w:rsidR="00F709E5" w:rsidRPr="004C1688" w:rsidRDefault="00F709E5" w:rsidP="00E20D2E">
      <w:pPr>
        <w:spacing w:after="0" w:line="264" w:lineRule="auto"/>
        <w:jc w:val="both"/>
        <w:rPr>
          <w:rFonts w:ascii="Century Gothic" w:hAnsi="Century Gothic"/>
          <w:sz w:val="21"/>
          <w:szCs w:val="21"/>
        </w:rPr>
      </w:pPr>
      <w:r w:rsidRPr="004C1688">
        <w:rPr>
          <w:rFonts w:ascii="Century Gothic" w:hAnsi="Century Gothic"/>
          <w:sz w:val="21"/>
          <w:szCs w:val="21"/>
        </w:rPr>
        <w:t>Sergio Rodríguez, director ejecutivo del ITP red CITE, manifestó que todo</w:t>
      </w:r>
      <w:r w:rsidR="004C1688" w:rsidRPr="004C1688">
        <w:rPr>
          <w:rFonts w:ascii="Century Gothic" w:hAnsi="Century Gothic"/>
          <w:sz w:val="21"/>
          <w:szCs w:val="21"/>
        </w:rPr>
        <w:t xml:space="preserve"> este esfuerzo fue elaborado</w:t>
      </w:r>
      <w:r w:rsidRPr="004C1688">
        <w:rPr>
          <w:rFonts w:ascii="Century Gothic" w:hAnsi="Century Gothic"/>
          <w:sz w:val="21"/>
          <w:szCs w:val="21"/>
        </w:rPr>
        <w:t xml:space="preserve"> </w:t>
      </w:r>
      <w:r w:rsidRPr="002E436E">
        <w:rPr>
          <w:rFonts w:ascii="Century Gothic" w:hAnsi="Century Gothic"/>
          <w:sz w:val="21"/>
          <w:szCs w:val="21"/>
        </w:rPr>
        <w:t>bajo</w:t>
      </w:r>
      <w:r w:rsidRPr="004C1688">
        <w:rPr>
          <w:rFonts w:ascii="Century Gothic" w:hAnsi="Century Gothic"/>
          <w:sz w:val="21"/>
          <w:szCs w:val="21"/>
        </w:rPr>
        <w:t xml:space="preserve"> los principales estándares de calidad y la supervisión de los profesionales de la red CITE, quienes a pesar de la pandemia han seguido asesorando y asistiendo técnicamente vía online a los emprendedores del país en sus diversas cadenas productivas.</w:t>
      </w:r>
    </w:p>
    <w:p w14:paraId="53AD8D6A" w14:textId="77777777" w:rsidR="00F709E5" w:rsidRPr="004C1688" w:rsidRDefault="00F709E5" w:rsidP="00E20D2E">
      <w:pPr>
        <w:spacing w:after="0" w:line="264" w:lineRule="auto"/>
        <w:jc w:val="both"/>
        <w:rPr>
          <w:rFonts w:ascii="Century Gothic" w:hAnsi="Century Gothic"/>
          <w:sz w:val="16"/>
          <w:szCs w:val="21"/>
        </w:rPr>
      </w:pPr>
    </w:p>
    <w:p w14:paraId="44170E86" w14:textId="13BDD5A3" w:rsidR="00AB550B" w:rsidRPr="004C1688" w:rsidRDefault="00F709E5" w:rsidP="00E20D2E">
      <w:pPr>
        <w:spacing w:after="0" w:line="264" w:lineRule="auto"/>
        <w:jc w:val="both"/>
        <w:rPr>
          <w:rFonts w:ascii="Century Gothic" w:hAnsi="Century Gothic"/>
          <w:sz w:val="21"/>
          <w:szCs w:val="21"/>
        </w:rPr>
      </w:pPr>
      <w:r w:rsidRPr="004C1688">
        <w:rPr>
          <w:rFonts w:ascii="Century Gothic" w:hAnsi="Century Gothic"/>
          <w:sz w:val="21"/>
          <w:szCs w:val="21"/>
        </w:rPr>
        <w:t xml:space="preserve">“Buscamos que los </w:t>
      </w:r>
      <w:proofErr w:type="spellStart"/>
      <w:r w:rsidRPr="004C1688">
        <w:rPr>
          <w:rFonts w:ascii="Century Gothic" w:hAnsi="Century Gothic"/>
          <w:sz w:val="21"/>
          <w:szCs w:val="21"/>
        </w:rPr>
        <w:t>mipymes</w:t>
      </w:r>
      <w:proofErr w:type="spellEnd"/>
      <w:r w:rsidRPr="004C1688">
        <w:rPr>
          <w:rFonts w:ascii="Century Gothic" w:hAnsi="Century Gothic"/>
          <w:sz w:val="21"/>
          <w:szCs w:val="21"/>
        </w:rPr>
        <w:t xml:space="preserve"> logren su reinserción al </w:t>
      </w:r>
      <w:r w:rsidR="002E436E">
        <w:rPr>
          <w:rFonts w:ascii="Century Gothic" w:hAnsi="Century Gothic"/>
          <w:sz w:val="21"/>
          <w:szCs w:val="21"/>
        </w:rPr>
        <w:t xml:space="preserve">mercado </w:t>
      </w:r>
      <w:r w:rsidRPr="002E436E">
        <w:rPr>
          <w:rFonts w:ascii="Century Gothic" w:hAnsi="Century Gothic"/>
          <w:sz w:val="21"/>
          <w:szCs w:val="21"/>
        </w:rPr>
        <w:t>comercial</w:t>
      </w:r>
      <w:r w:rsidRPr="004C1688">
        <w:rPr>
          <w:rFonts w:ascii="Century Gothic" w:hAnsi="Century Gothic"/>
          <w:sz w:val="21"/>
          <w:szCs w:val="21"/>
        </w:rPr>
        <w:t xml:space="preserve"> a través del valor agregado, para ello pusimos a su disposición la estrategia </w:t>
      </w:r>
      <w:r w:rsidRPr="004C1688">
        <w:rPr>
          <w:rFonts w:ascii="Century Gothic" w:hAnsi="Century Gothic"/>
          <w:b/>
          <w:sz w:val="21"/>
          <w:szCs w:val="21"/>
        </w:rPr>
        <w:t>Reactivación en Marcha</w:t>
      </w:r>
      <w:r w:rsidR="00AB550B" w:rsidRPr="004C1688">
        <w:rPr>
          <w:rFonts w:ascii="Century Gothic" w:hAnsi="Century Gothic"/>
          <w:b/>
          <w:sz w:val="21"/>
          <w:szCs w:val="21"/>
        </w:rPr>
        <w:t>,</w:t>
      </w:r>
      <w:r w:rsidRPr="004C1688">
        <w:rPr>
          <w:rFonts w:ascii="Century Gothic" w:hAnsi="Century Gothic"/>
          <w:sz w:val="21"/>
          <w:szCs w:val="21"/>
        </w:rPr>
        <w:t xml:space="preserve"> la cual les permite atención </w:t>
      </w:r>
      <w:r w:rsidR="00AB550B" w:rsidRPr="004C1688">
        <w:rPr>
          <w:rFonts w:ascii="Century Gothic" w:hAnsi="Century Gothic"/>
          <w:sz w:val="21"/>
          <w:szCs w:val="21"/>
        </w:rPr>
        <w:t>técnica</w:t>
      </w:r>
      <w:r w:rsidRPr="004C1688">
        <w:rPr>
          <w:rFonts w:ascii="Century Gothic" w:hAnsi="Century Gothic"/>
          <w:sz w:val="21"/>
          <w:szCs w:val="21"/>
        </w:rPr>
        <w:t xml:space="preserve"> y </w:t>
      </w:r>
      <w:r w:rsidR="00AB550B" w:rsidRPr="004C1688">
        <w:rPr>
          <w:rFonts w:ascii="Century Gothic" w:hAnsi="Century Gothic"/>
          <w:sz w:val="21"/>
          <w:szCs w:val="21"/>
        </w:rPr>
        <w:t>productiva</w:t>
      </w:r>
      <w:r w:rsidRPr="004C1688">
        <w:rPr>
          <w:rFonts w:ascii="Century Gothic" w:hAnsi="Century Gothic"/>
          <w:sz w:val="21"/>
          <w:szCs w:val="21"/>
        </w:rPr>
        <w:t xml:space="preserve"> de fo</w:t>
      </w:r>
      <w:r w:rsidR="00AB550B" w:rsidRPr="004C1688">
        <w:rPr>
          <w:rFonts w:ascii="Century Gothic" w:hAnsi="Century Gothic"/>
          <w:sz w:val="21"/>
          <w:szCs w:val="21"/>
        </w:rPr>
        <w:t xml:space="preserve">rma gratuita en la red CITE, hasta </w:t>
      </w:r>
      <w:r w:rsidRPr="004C1688">
        <w:rPr>
          <w:rFonts w:ascii="Century Gothic" w:hAnsi="Century Gothic"/>
          <w:sz w:val="21"/>
          <w:szCs w:val="21"/>
        </w:rPr>
        <w:t>por un valor de 4 300 soles”</w:t>
      </w:r>
      <w:r w:rsidR="00AB550B" w:rsidRPr="004C1688">
        <w:rPr>
          <w:rFonts w:ascii="Century Gothic" w:hAnsi="Century Gothic"/>
          <w:sz w:val="21"/>
          <w:szCs w:val="21"/>
        </w:rPr>
        <w:t>, señaló.</w:t>
      </w:r>
    </w:p>
    <w:p w14:paraId="4394FD8D" w14:textId="77777777" w:rsidR="00AB550B" w:rsidRPr="004C1688" w:rsidRDefault="00AB550B" w:rsidP="00E20D2E">
      <w:pPr>
        <w:spacing w:after="0" w:line="264" w:lineRule="auto"/>
        <w:jc w:val="both"/>
        <w:rPr>
          <w:rFonts w:ascii="Century Gothic" w:hAnsi="Century Gothic"/>
          <w:sz w:val="16"/>
          <w:szCs w:val="21"/>
        </w:rPr>
      </w:pPr>
    </w:p>
    <w:p w14:paraId="45CFE004" w14:textId="6C389C4A" w:rsidR="00F709E5" w:rsidRDefault="00AB550B" w:rsidP="00E20D2E">
      <w:pPr>
        <w:spacing w:after="0" w:line="264" w:lineRule="auto"/>
        <w:jc w:val="both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 w:rsidRPr="004C1688">
        <w:rPr>
          <w:rFonts w:ascii="Century Gothic" w:hAnsi="Century Gothic"/>
          <w:sz w:val="21"/>
          <w:szCs w:val="21"/>
        </w:rPr>
        <w:t xml:space="preserve">Rodríguez Soria, saludo la creatividad de los empresarios quienes </w:t>
      </w:r>
      <w:r w:rsidR="002E436E">
        <w:rPr>
          <w:rFonts w:ascii="Century Gothic" w:hAnsi="Century Gothic"/>
          <w:sz w:val="21"/>
          <w:szCs w:val="21"/>
        </w:rPr>
        <w:t xml:space="preserve">dan opciones para </w:t>
      </w:r>
      <w:r w:rsidR="00B45312" w:rsidRPr="004C1688">
        <w:rPr>
          <w:rFonts w:ascii="Century Gothic" w:hAnsi="Century Gothic"/>
          <w:sz w:val="21"/>
          <w:szCs w:val="21"/>
        </w:rPr>
        <w:t xml:space="preserve"> </w:t>
      </w:r>
      <w:r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>ree</w:t>
      </w:r>
      <w:r w:rsidR="00B45312"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mplazar la tradicional cena de </w:t>
      </w:r>
      <w:r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>navidad y año nuevo con productos de calidad y sabor agradable pa</w:t>
      </w:r>
      <w:r w:rsidR="00B45312"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>ra el paladar de los comensales. “Para el brindis en vez de utilizar un espumante, utilicemos un licor de cacao o un néctar de piña con quinua, proveniente</w:t>
      </w:r>
      <w:r w:rsidR="00612A96"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>s</w:t>
      </w:r>
      <w:r w:rsidR="00B45312" w:rsidRPr="004C1688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de </w:t>
      </w:r>
      <w:r w:rsidR="001942EB">
        <w:rPr>
          <w:rFonts w:ascii="Century Gothic" w:eastAsia="Century Gothic" w:hAnsi="Century Gothic" w:cs="Century Gothic"/>
          <w:color w:val="000000"/>
          <w:sz w:val="21"/>
          <w:szCs w:val="21"/>
        </w:rPr>
        <w:t>Trujillo y Huánuco”, recalcó</w:t>
      </w:r>
    </w:p>
    <w:p w14:paraId="52D1D278" w14:textId="77777777" w:rsidR="001942EB" w:rsidRPr="001942EB" w:rsidRDefault="001942EB" w:rsidP="00E20D2E">
      <w:pPr>
        <w:spacing w:after="0" w:line="264" w:lineRule="auto"/>
        <w:jc w:val="both"/>
        <w:rPr>
          <w:rFonts w:ascii="Century Gothic" w:eastAsia="Century Gothic" w:hAnsi="Century Gothic" w:cs="Century Gothic"/>
          <w:color w:val="000000"/>
          <w:sz w:val="16"/>
          <w:szCs w:val="21"/>
        </w:rPr>
      </w:pPr>
    </w:p>
    <w:p w14:paraId="56841757" w14:textId="77777777" w:rsidR="001942EB" w:rsidRPr="004C1688" w:rsidRDefault="001942EB" w:rsidP="00E20D2E">
      <w:pPr>
        <w:spacing w:after="0" w:line="264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Para solicitar información de los productos, los interesados </w:t>
      </w:r>
      <w:r w:rsidR="006C0119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deberán ingresar a la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web  </w:t>
      </w:r>
      <w:hyperlink r:id="rId8" w:history="1">
        <w:r w:rsidRPr="006C3262">
          <w:rPr>
            <w:rStyle w:val="Hipervnculo"/>
            <w:rFonts w:ascii="Century Gothic" w:eastAsia="Century Gothic" w:hAnsi="Century Gothic" w:cs="Century Gothic"/>
            <w:sz w:val="21"/>
            <w:szCs w:val="21"/>
          </w:rPr>
          <w:t>http://reactivacionenmarcha.itp.gob.pe/</w:t>
        </w:r>
      </w:hyperlink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 w:rsidR="006C0119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sección </w:t>
      </w:r>
      <w:r w:rsidR="006C0119" w:rsidRPr="006D1449"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>“vitrina innovadora”</w:t>
      </w:r>
      <w:r w:rsidR="006C0119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y podrán acceder al catálogo de productos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y tomarán contacto con las empresas a través del link de sus redes sociales.</w:t>
      </w:r>
    </w:p>
    <w:p w14:paraId="248044F7" w14:textId="77777777" w:rsidR="00F709E5" w:rsidRPr="004C1688" w:rsidRDefault="00F709E5" w:rsidP="00E20D2E">
      <w:pPr>
        <w:spacing w:after="0" w:line="264" w:lineRule="auto"/>
        <w:jc w:val="both"/>
        <w:rPr>
          <w:rFonts w:ascii="Century Gothic" w:hAnsi="Century Gothic"/>
          <w:sz w:val="16"/>
          <w:szCs w:val="21"/>
        </w:rPr>
      </w:pPr>
    </w:p>
    <w:p w14:paraId="67E281D5" w14:textId="77777777" w:rsidR="00612A96" w:rsidRPr="004C1688" w:rsidRDefault="00612A96" w:rsidP="00F709E5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sz w:val="21"/>
          <w:szCs w:val="21"/>
        </w:rPr>
      </w:pPr>
      <w:r w:rsidRPr="004C1688">
        <w:rPr>
          <w:rFonts w:ascii="Century Gothic" w:eastAsia="Century Gothic" w:hAnsi="Century Gothic" w:cs="Century Gothic"/>
          <w:b/>
          <w:sz w:val="21"/>
          <w:szCs w:val="21"/>
        </w:rPr>
        <w:t>Canastas navideñas innovadoras</w:t>
      </w:r>
      <w:r w:rsidRPr="004C1688">
        <w:rPr>
          <w:rFonts w:ascii="Century Gothic" w:eastAsia="Century Gothic" w:hAnsi="Century Gothic" w:cs="Century Gothic"/>
          <w:sz w:val="21"/>
          <w:szCs w:val="21"/>
        </w:rPr>
        <w:t xml:space="preserve"> </w:t>
      </w:r>
    </w:p>
    <w:p w14:paraId="779BBADE" w14:textId="77777777" w:rsidR="00F709E5" w:rsidRPr="004C1688" w:rsidRDefault="004C1688" w:rsidP="004C1688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sz w:val="21"/>
          <w:szCs w:val="21"/>
        </w:rPr>
      </w:pPr>
      <w:r w:rsidRPr="004C1688">
        <w:rPr>
          <w:rFonts w:ascii="Century Gothic" w:eastAsia="Century Gothic" w:hAnsi="Century Gothic" w:cs="Century Gothic"/>
          <w:sz w:val="21"/>
          <w:szCs w:val="21"/>
        </w:rPr>
        <w:t>Del mismo modo, se presentaron diversos modelos de canastas navideñas con productos como: C</w:t>
      </w:r>
      <w:r w:rsidR="00F709E5" w:rsidRPr="004C1688">
        <w:rPr>
          <w:rFonts w:ascii="Century Gothic" w:eastAsia="Century Gothic" w:hAnsi="Century Gothic" w:cs="Century Gothic"/>
          <w:sz w:val="21"/>
          <w:szCs w:val="21"/>
        </w:rPr>
        <w:t xml:space="preserve">hocolate con kion; esencia de café con </w:t>
      </w:r>
      <w:proofErr w:type="spellStart"/>
      <w:r w:rsidR="00F709E5" w:rsidRPr="004C1688">
        <w:rPr>
          <w:rFonts w:ascii="Century Gothic" w:eastAsia="Century Gothic" w:hAnsi="Century Gothic" w:cs="Century Gothic"/>
          <w:sz w:val="21"/>
          <w:szCs w:val="21"/>
        </w:rPr>
        <w:t>stevia</w:t>
      </w:r>
      <w:proofErr w:type="spellEnd"/>
      <w:r w:rsidR="00F709E5" w:rsidRPr="004C1688">
        <w:rPr>
          <w:rFonts w:ascii="Century Gothic" w:eastAsia="Century Gothic" w:hAnsi="Century Gothic" w:cs="Century Gothic"/>
          <w:sz w:val="21"/>
          <w:szCs w:val="21"/>
        </w:rPr>
        <w:t xml:space="preserve">; barras nutritivas de frutas deshidratadas; chocolate para taza; papas al vapor; licor de cacao; harinas de </w:t>
      </w:r>
      <w:proofErr w:type="spellStart"/>
      <w:r w:rsidR="00F709E5" w:rsidRPr="004C1688">
        <w:rPr>
          <w:rFonts w:ascii="Century Gothic" w:eastAsia="Century Gothic" w:hAnsi="Century Gothic" w:cs="Century Gothic"/>
          <w:sz w:val="21"/>
          <w:szCs w:val="21"/>
        </w:rPr>
        <w:t>tocosh</w:t>
      </w:r>
      <w:proofErr w:type="spellEnd"/>
      <w:r w:rsidR="00F709E5" w:rsidRPr="004C1688">
        <w:rPr>
          <w:rFonts w:ascii="Century Gothic" w:eastAsia="Century Gothic" w:hAnsi="Century Gothic" w:cs="Century Gothic"/>
          <w:sz w:val="21"/>
          <w:szCs w:val="21"/>
        </w:rPr>
        <w:t>; salsa picante de rocoto; entre otros.</w:t>
      </w:r>
    </w:p>
    <w:p w14:paraId="2C5CC578" w14:textId="77777777" w:rsidR="004C1688" w:rsidRPr="00916E5B" w:rsidRDefault="004C1688" w:rsidP="004C1688">
      <w:pPr>
        <w:shd w:val="clear" w:color="auto" w:fill="FFFFFF" w:themeFill="background1"/>
        <w:spacing w:after="0" w:line="264" w:lineRule="auto"/>
        <w:jc w:val="both"/>
        <w:rPr>
          <w:rFonts w:ascii="Century Gothic" w:eastAsia="Century Gothic" w:hAnsi="Century Gothic" w:cs="Century Gothic"/>
          <w:sz w:val="16"/>
          <w:szCs w:val="21"/>
        </w:rPr>
      </w:pPr>
    </w:p>
    <w:p w14:paraId="7E1058F1" w14:textId="77777777" w:rsidR="004C1688" w:rsidRDefault="004C1688" w:rsidP="004C1688">
      <w:pPr>
        <w:shd w:val="clear" w:color="auto" w:fill="FFFFFF" w:themeFill="background1"/>
        <w:spacing w:after="0" w:line="264" w:lineRule="auto"/>
        <w:jc w:val="both"/>
        <w:rPr>
          <w:rFonts w:ascii="Century Gothic" w:hAnsi="Century Gothic"/>
          <w:sz w:val="21"/>
          <w:szCs w:val="21"/>
        </w:rPr>
      </w:pPr>
      <w:r w:rsidRPr="004C1688">
        <w:rPr>
          <w:rFonts w:ascii="Century Gothic" w:eastAsia="Century Gothic" w:hAnsi="Century Gothic" w:cs="Century Gothic"/>
          <w:sz w:val="21"/>
          <w:szCs w:val="21"/>
        </w:rPr>
        <w:t xml:space="preserve">Las regiones involucradas fueron, </w:t>
      </w:r>
      <w:r w:rsidRPr="004C1688">
        <w:rPr>
          <w:rFonts w:ascii="Century Gothic" w:hAnsi="Century Gothic"/>
          <w:sz w:val="21"/>
          <w:szCs w:val="21"/>
        </w:rPr>
        <w:t>Arequipa, Cusco, Huánuco, La Libertad, Lima, Moquegua, Piura, San Martín y Ucayali.</w:t>
      </w:r>
    </w:p>
    <w:p w14:paraId="54311946" w14:textId="77777777" w:rsidR="00916E5B" w:rsidRPr="00916E5B" w:rsidRDefault="00916E5B" w:rsidP="004C1688">
      <w:pPr>
        <w:shd w:val="clear" w:color="auto" w:fill="FFFFFF" w:themeFill="background1"/>
        <w:spacing w:after="0" w:line="264" w:lineRule="auto"/>
        <w:jc w:val="both"/>
        <w:rPr>
          <w:rFonts w:ascii="Century Gothic" w:hAnsi="Century Gothic"/>
          <w:sz w:val="21"/>
          <w:szCs w:val="21"/>
        </w:rPr>
      </w:pPr>
    </w:p>
    <w:p w14:paraId="7AA378DA" w14:textId="77777777" w:rsidR="009A7AB4" w:rsidRPr="00916E5B" w:rsidRDefault="00395F7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760"/>
        <w:jc w:val="center"/>
        <w:rPr>
          <w:rFonts w:ascii="Century Gothic" w:eastAsia="Arial" w:hAnsi="Century Gothic" w:cs="Arial"/>
          <w:color w:val="000000"/>
          <w:sz w:val="20"/>
          <w:szCs w:val="20"/>
        </w:rPr>
      </w:pPr>
      <w:r w:rsidRPr="00916E5B">
        <w:rPr>
          <w:rFonts w:ascii="Century Gothic" w:eastAsia="Arial" w:hAnsi="Century Gothic" w:cs="Arial"/>
          <w:color w:val="000000"/>
          <w:sz w:val="20"/>
          <w:szCs w:val="20"/>
        </w:rPr>
        <w:lastRenderedPageBreak/>
        <w:t xml:space="preserve">Lima,  </w:t>
      </w:r>
      <w:r w:rsidR="00C67558" w:rsidRPr="00916E5B">
        <w:rPr>
          <w:rFonts w:ascii="Century Gothic" w:eastAsia="Arial" w:hAnsi="Century Gothic" w:cs="Arial"/>
          <w:color w:val="000000"/>
          <w:sz w:val="20"/>
          <w:szCs w:val="20"/>
        </w:rPr>
        <w:t xml:space="preserve">25 </w:t>
      </w:r>
      <w:r w:rsidR="00F74DA0" w:rsidRPr="00916E5B">
        <w:rPr>
          <w:rFonts w:ascii="Century Gothic" w:eastAsia="Arial" w:hAnsi="Century Gothic" w:cs="Arial"/>
          <w:color w:val="000000"/>
          <w:sz w:val="20"/>
          <w:szCs w:val="20"/>
        </w:rPr>
        <w:t>noviembre 2020</w:t>
      </w:r>
    </w:p>
    <w:p w14:paraId="6C604F02" w14:textId="77777777" w:rsidR="009A7AB4" w:rsidRDefault="009A7AB4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5C3FDD5" w14:textId="77777777" w:rsidR="009A7AB4" w:rsidRDefault="00F74DA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18"/>
          <w:szCs w:val="18"/>
        </w:rPr>
        <w:t>Oficina de Imagen Institucional / Instituto Tecnológico de la Producción | Av. República d Panamá 3418 – San Isidro, Perú | T. (01) 6802150 - 994919625| </w:t>
      </w:r>
      <w:hyperlink r:id="rId9">
        <w:r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www.itp.gob.pe</w:t>
        </w:r>
      </w:hyperlink>
    </w:p>
    <w:sectPr w:rsidR="009A7AB4">
      <w:headerReference w:type="default" r:id="rId10"/>
      <w:footerReference w:type="default" r:id="rId11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98397" w14:textId="77777777" w:rsidR="00AB0DB1" w:rsidRDefault="00AB0DB1">
      <w:pPr>
        <w:spacing w:after="0" w:line="240" w:lineRule="auto"/>
      </w:pPr>
      <w:r>
        <w:separator/>
      </w:r>
    </w:p>
  </w:endnote>
  <w:endnote w:type="continuationSeparator" w:id="0">
    <w:p w14:paraId="6FEB545F" w14:textId="77777777" w:rsidR="00AB0DB1" w:rsidRDefault="00AB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2E3D" w14:textId="77777777" w:rsidR="009A7AB4" w:rsidRDefault="00F74DA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2E11DAAA" w14:textId="77777777" w:rsidR="009A7AB4" w:rsidRDefault="009A7A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99296" w14:textId="77777777" w:rsidR="00AB0DB1" w:rsidRDefault="00AB0DB1">
      <w:pPr>
        <w:spacing w:after="0" w:line="240" w:lineRule="auto"/>
      </w:pPr>
      <w:r>
        <w:separator/>
      </w:r>
    </w:p>
  </w:footnote>
  <w:footnote w:type="continuationSeparator" w:id="0">
    <w:p w14:paraId="246BD060" w14:textId="77777777" w:rsidR="00AB0DB1" w:rsidRDefault="00AB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0F09E" w14:textId="77777777" w:rsidR="009A7AB4" w:rsidRDefault="00F74DA0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3DD246" wp14:editId="3BB86D0B">
          <wp:simplePos x="0" y="0"/>
          <wp:positionH relativeFrom="column">
            <wp:posOffset>-342895</wp:posOffset>
          </wp:positionH>
          <wp:positionV relativeFrom="paragraph">
            <wp:posOffset>-234944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3C1FE2" wp14:editId="769FDAB8">
          <wp:simplePos x="0" y="0"/>
          <wp:positionH relativeFrom="column">
            <wp:posOffset>4681220</wp:posOffset>
          </wp:positionH>
          <wp:positionV relativeFrom="paragraph">
            <wp:posOffset>-403855</wp:posOffset>
          </wp:positionV>
          <wp:extent cx="1714500" cy="84582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2B9631" w14:textId="77777777" w:rsidR="009A7AB4" w:rsidRDefault="00F74DA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D96B8D5" wp14:editId="4A3DA41C">
              <wp:simplePos x="0" y="0"/>
              <wp:positionH relativeFrom="column">
                <wp:posOffset>-901693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CDB331" w14:textId="77777777" w:rsidR="00F3241D" w:rsidRDefault="00AB0DB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:rsidR="00F3241D" w:rsidRDefault="002119E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D2DC9DE" w14:textId="77777777" w:rsidR="009A7AB4" w:rsidRDefault="009A7A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9D6"/>
    <w:multiLevelType w:val="hybridMultilevel"/>
    <w:tmpl w:val="5F049126"/>
    <w:lvl w:ilvl="0" w:tplc="280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165A2962"/>
    <w:multiLevelType w:val="multilevel"/>
    <w:tmpl w:val="A4C0DA6C"/>
    <w:lvl w:ilvl="0">
      <w:start w:val="1"/>
      <w:numFmt w:val="bullet"/>
      <w:lvlText w:val="●"/>
      <w:lvlJc w:val="left"/>
      <w:pPr>
        <w:ind w:left="3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717C37"/>
    <w:multiLevelType w:val="hybridMultilevel"/>
    <w:tmpl w:val="584600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D6B41"/>
    <w:multiLevelType w:val="hybridMultilevel"/>
    <w:tmpl w:val="DF0EAA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32D3C"/>
    <w:multiLevelType w:val="hybridMultilevel"/>
    <w:tmpl w:val="1E6437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B4"/>
    <w:rsid w:val="00006999"/>
    <w:rsid w:val="000C5786"/>
    <w:rsid w:val="000F687E"/>
    <w:rsid w:val="001942EB"/>
    <w:rsid w:val="002119EC"/>
    <w:rsid w:val="002E436E"/>
    <w:rsid w:val="00395F71"/>
    <w:rsid w:val="004C1688"/>
    <w:rsid w:val="00612A96"/>
    <w:rsid w:val="0069582B"/>
    <w:rsid w:val="006C0119"/>
    <w:rsid w:val="006D1449"/>
    <w:rsid w:val="00742830"/>
    <w:rsid w:val="00796F8A"/>
    <w:rsid w:val="007F2704"/>
    <w:rsid w:val="008B18E4"/>
    <w:rsid w:val="008F307E"/>
    <w:rsid w:val="00916E5B"/>
    <w:rsid w:val="00917D41"/>
    <w:rsid w:val="00943BD7"/>
    <w:rsid w:val="0096362A"/>
    <w:rsid w:val="009A7AB4"/>
    <w:rsid w:val="00A64691"/>
    <w:rsid w:val="00AB0DB1"/>
    <w:rsid w:val="00AB550B"/>
    <w:rsid w:val="00B45312"/>
    <w:rsid w:val="00B62DC2"/>
    <w:rsid w:val="00B67C63"/>
    <w:rsid w:val="00C44A8E"/>
    <w:rsid w:val="00C57B66"/>
    <w:rsid w:val="00C67558"/>
    <w:rsid w:val="00E20D2E"/>
    <w:rsid w:val="00E23B7F"/>
    <w:rsid w:val="00E66718"/>
    <w:rsid w:val="00F31FBA"/>
    <w:rsid w:val="00F43D26"/>
    <w:rsid w:val="00F63423"/>
    <w:rsid w:val="00F709E5"/>
    <w:rsid w:val="00F74DA0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C849B"/>
  <w15:docId w15:val="{29F54898-EF02-4383-B0FB-29A37F4E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B62D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42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67C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7C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7C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7C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7C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ctivacionenmarcha.itp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p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6A0A-26E6-4305-9DF7-7CB0B9A8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 Vilca, Renzo Mauricio</dc:creator>
  <cp:lastModifiedBy>PROPIETARIO</cp:lastModifiedBy>
  <cp:revision>2</cp:revision>
  <dcterms:created xsi:type="dcterms:W3CDTF">2020-11-25T20:17:00Z</dcterms:created>
  <dcterms:modified xsi:type="dcterms:W3CDTF">2020-11-25T20:17:00Z</dcterms:modified>
</cp:coreProperties>
</file>