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1AD98" w14:textId="7C907253" w:rsidR="00D70274" w:rsidRPr="008D0015" w:rsidRDefault="00971D51" w:rsidP="008D0015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</w:t>
      </w:r>
      <w:r w:rsidR="008D0015">
        <w:rPr>
          <w:rFonts w:ascii="Arial" w:hAnsi="Arial" w:cs="Arial"/>
          <w:b/>
          <w:bCs/>
          <w:u w:val="single"/>
        </w:rPr>
        <w:t>OTA DE PRENSA</w:t>
      </w:r>
    </w:p>
    <w:p w14:paraId="4CBF3079" w14:textId="77777777" w:rsidR="00E75DCD" w:rsidRDefault="00E75DCD" w:rsidP="009F24F5">
      <w:pPr>
        <w:pStyle w:val="Sinespaciado"/>
        <w:jc w:val="center"/>
        <w:rPr>
          <w:rFonts w:ascii="Arial" w:eastAsia="Times New Roman" w:hAnsi="Arial" w:cs="Arial"/>
          <w:spacing w:val="6"/>
          <w:sz w:val="20"/>
          <w:szCs w:val="20"/>
          <w:lang w:eastAsia="es-PE"/>
        </w:rPr>
      </w:pPr>
    </w:p>
    <w:p w14:paraId="32396BFA" w14:textId="1FF54859" w:rsidR="00B572ED" w:rsidRDefault="00B81725" w:rsidP="006A30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Puno: </w:t>
      </w:r>
      <w:r w:rsidR="00B572ED" w:rsidRPr="009F24F5">
        <w:rPr>
          <w:rFonts w:ascii="Arial" w:hAnsi="Arial" w:cs="Arial"/>
          <w:b/>
          <w:sz w:val="24"/>
          <w:szCs w:val="24"/>
        </w:rPr>
        <w:t xml:space="preserve">Sanipes </w:t>
      </w:r>
      <w:r w:rsidR="004B7118">
        <w:rPr>
          <w:rFonts w:ascii="Arial" w:hAnsi="Arial" w:cs="Arial"/>
          <w:b/>
          <w:sz w:val="24"/>
          <w:szCs w:val="24"/>
        </w:rPr>
        <w:t>impulsará</w:t>
      </w:r>
      <w:r w:rsidR="003541A2">
        <w:rPr>
          <w:rFonts w:ascii="Arial" w:hAnsi="Arial" w:cs="Arial"/>
          <w:b/>
          <w:sz w:val="24"/>
          <w:szCs w:val="24"/>
        </w:rPr>
        <w:t xml:space="preserve"> </w:t>
      </w:r>
      <w:r w:rsidR="00D167DF">
        <w:rPr>
          <w:rFonts w:ascii="Arial" w:hAnsi="Arial" w:cs="Arial"/>
          <w:b/>
          <w:sz w:val="24"/>
          <w:szCs w:val="24"/>
        </w:rPr>
        <w:t xml:space="preserve">la </w:t>
      </w:r>
      <w:r w:rsidR="00496D1B">
        <w:rPr>
          <w:rFonts w:ascii="Arial" w:hAnsi="Arial" w:cs="Arial"/>
          <w:b/>
          <w:sz w:val="24"/>
          <w:szCs w:val="24"/>
        </w:rPr>
        <w:t xml:space="preserve">Habilitación Sanitaria </w:t>
      </w:r>
      <w:r w:rsidR="003541A2">
        <w:rPr>
          <w:rFonts w:ascii="Arial" w:hAnsi="Arial" w:cs="Arial"/>
          <w:b/>
          <w:sz w:val="24"/>
          <w:szCs w:val="24"/>
        </w:rPr>
        <w:t xml:space="preserve">de </w:t>
      </w:r>
      <w:r w:rsidR="00A8451C">
        <w:rPr>
          <w:rFonts w:ascii="Arial" w:hAnsi="Arial" w:cs="Arial"/>
          <w:b/>
          <w:sz w:val="24"/>
          <w:szCs w:val="24"/>
        </w:rPr>
        <w:t>centro</w:t>
      </w:r>
      <w:r w:rsidR="00524C86">
        <w:rPr>
          <w:rFonts w:ascii="Arial" w:hAnsi="Arial" w:cs="Arial"/>
          <w:b/>
          <w:sz w:val="24"/>
          <w:szCs w:val="24"/>
        </w:rPr>
        <w:t>s</w:t>
      </w:r>
      <w:r w:rsidR="00A8451C">
        <w:rPr>
          <w:rFonts w:ascii="Arial" w:hAnsi="Arial" w:cs="Arial"/>
          <w:b/>
          <w:sz w:val="24"/>
          <w:szCs w:val="24"/>
        </w:rPr>
        <w:t xml:space="preserve"> de producción </w:t>
      </w:r>
      <w:r>
        <w:rPr>
          <w:rFonts w:ascii="Arial" w:hAnsi="Arial" w:cs="Arial"/>
          <w:b/>
          <w:sz w:val="24"/>
          <w:szCs w:val="24"/>
        </w:rPr>
        <w:t>de trucha</w:t>
      </w:r>
    </w:p>
    <w:p w14:paraId="0F7D0146" w14:textId="11182DBE" w:rsidR="004F386D" w:rsidRPr="004F386D" w:rsidRDefault="004F386D" w:rsidP="00E75DCD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/>
          <w:bCs/>
          <w:i/>
          <w:sz w:val="20"/>
          <w:szCs w:val="20"/>
        </w:rPr>
        <w:t xml:space="preserve">A través del plan </w:t>
      </w:r>
      <w:r w:rsidRPr="004F386D">
        <w:rPr>
          <w:rFonts w:ascii="Arial" w:hAnsi="Arial" w:cs="Arial"/>
          <w:i/>
          <w:w w:val="105"/>
          <w:sz w:val="20"/>
          <w:szCs w:val="20"/>
        </w:rPr>
        <w:t>“Fortalecimiento de la Gestión para la Habilitación Sanitaria de</w:t>
      </w:r>
      <w:r w:rsidRPr="004F386D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4F386D">
        <w:rPr>
          <w:rFonts w:ascii="Arial" w:hAnsi="Arial" w:cs="Arial"/>
          <w:i/>
          <w:w w:val="105"/>
          <w:sz w:val="20"/>
          <w:szCs w:val="20"/>
        </w:rPr>
        <w:t>Centros de Producción Acuícola en la Región Puno”.</w:t>
      </w:r>
    </w:p>
    <w:p w14:paraId="2919DC11" w14:textId="63394E55" w:rsidR="00E75DCD" w:rsidRPr="00E75DCD" w:rsidRDefault="004F386D" w:rsidP="00E75DCD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/>
          <w:bCs/>
          <w:i/>
          <w:sz w:val="20"/>
          <w:szCs w:val="20"/>
        </w:rPr>
        <w:t xml:space="preserve">180 </w:t>
      </w:r>
      <w:r w:rsidR="004B7118">
        <w:rPr>
          <w:rFonts w:ascii="Arial" w:hAnsi="Arial"/>
          <w:bCs/>
          <w:i/>
          <w:sz w:val="20"/>
          <w:szCs w:val="20"/>
        </w:rPr>
        <w:t>centros de producción acuícola</w:t>
      </w:r>
      <w:r w:rsidR="003A7E00">
        <w:rPr>
          <w:rFonts w:ascii="Arial" w:hAnsi="Arial"/>
          <w:bCs/>
          <w:i/>
          <w:sz w:val="20"/>
          <w:szCs w:val="20"/>
        </w:rPr>
        <w:t xml:space="preserve"> </w:t>
      </w:r>
      <w:r>
        <w:rPr>
          <w:rFonts w:ascii="Arial" w:hAnsi="Arial"/>
          <w:bCs/>
          <w:i/>
          <w:sz w:val="20"/>
          <w:szCs w:val="20"/>
        </w:rPr>
        <w:t xml:space="preserve">podrán </w:t>
      </w:r>
      <w:r w:rsidR="00395ADB">
        <w:rPr>
          <w:rFonts w:ascii="Arial" w:hAnsi="Arial"/>
          <w:bCs/>
          <w:i/>
          <w:sz w:val="20"/>
          <w:szCs w:val="20"/>
        </w:rPr>
        <w:t>obtener</w:t>
      </w:r>
      <w:r w:rsidR="0086166B">
        <w:rPr>
          <w:rFonts w:ascii="Arial" w:hAnsi="Arial"/>
          <w:bCs/>
          <w:i/>
          <w:sz w:val="20"/>
          <w:szCs w:val="20"/>
        </w:rPr>
        <w:t xml:space="preserve"> el T</w:t>
      </w:r>
      <w:r w:rsidR="00035740">
        <w:rPr>
          <w:rFonts w:ascii="Arial" w:hAnsi="Arial"/>
          <w:bCs/>
          <w:i/>
          <w:sz w:val="20"/>
          <w:szCs w:val="20"/>
        </w:rPr>
        <w:t>í</w:t>
      </w:r>
      <w:r w:rsidR="0086166B">
        <w:rPr>
          <w:rFonts w:ascii="Arial" w:hAnsi="Arial"/>
          <w:bCs/>
          <w:i/>
          <w:sz w:val="20"/>
          <w:szCs w:val="20"/>
        </w:rPr>
        <w:t>tulo H</w:t>
      </w:r>
      <w:r w:rsidR="00035740">
        <w:rPr>
          <w:rFonts w:ascii="Arial" w:hAnsi="Arial"/>
          <w:bCs/>
          <w:i/>
          <w:sz w:val="20"/>
          <w:szCs w:val="20"/>
        </w:rPr>
        <w:t>abilitante.</w:t>
      </w:r>
    </w:p>
    <w:p w14:paraId="116CFA80" w14:textId="77777777" w:rsidR="003A7E00" w:rsidRPr="003A7E00" w:rsidRDefault="003A7E00" w:rsidP="003A7E00">
      <w:pPr>
        <w:pStyle w:val="Sinespaciado"/>
        <w:ind w:left="720"/>
        <w:jc w:val="both"/>
        <w:rPr>
          <w:rFonts w:ascii="Arial" w:hAnsi="Arial" w:cs="Arial"/>
          <w:bCs/>
          <w:sz w:val="23"/>
          <w:szCs w:val="23"/>
        </w:rPr>
      </w:pPr>
    </w:p>
    <w:p w14:paraId="420CE3DF" w14:textId="52F26A44" w:rsidR="00334780" w:rsidRPr="005930D9" w:rsidRDefault="009F24F5" w:rsidP="0086166B">
      <w:pPr>
        <w:pStyle w:val="Sinespaciado"/>
        <w:jc w:val="both"/>
        <w:rPr>
          <w:rFonts w:ascii="Arial" w:hAnsi="Arial"/>
          <w:sz w:val="19"/>
          <w:szCs w:val="19"/>
          <w:lang w:val="es-MX"/>
        </w:rPr>
      </w:pPr>
      <w:r w:rsidRPr="005930D9">
        <w:rPr>
          <w:rFonts w:ascii="Arial" w:hAnsi="Arial"/>
          <w:sz w:val="19"/>
          <w:szCs w:val="19"/>
          <w:lang w:val="es-MX"/>
        </w:rPr>
        <w:t>El Organismo Nacional de Sanidad Pesquera (Sanipes)</w:t>
      </w:r>
      <w:r w:rsidR="00CB55C6" w:rsidRPr="005930D9">
        <w:rPr>
          <w:rFonts w:ascii="Arial" w:hAnsi="Arial"/>
          <w:sz w:val="19"/>
          <w:szCs w:val="19"/>
          <w:lang w:val="es-MX"/>
        </w:rPr>
        <w:t>,</w:t>
      </w:r>
      <w:r w:rsidRPr="005930D9">
        <w:rPr>
          <w:rFonts w:ascii="Arial" w:hAnsi="Arial"/>
          <w:sz w:val="19"/>
          <w:szCs w:val="19"/>
          <w:lang w:val="es-MX"/>
        </w:rPr>
        <w:t xml:space="preserve"> adscrito al Ministerio de la Producción, </w:t>
      </w:r>
      <w:r w:rsidR="00334780" w:rsidRPr="005930D9">
        <w:rPr>
          <w:rFonts w:ascii="Arial" w:hAnsi="Arial"/>
          <w:sz w:val="19"/>
          <w:szCs w:val="19"/>
          <w:lang w:val="es-MX"/>
        </w:rPr>
        <w:t xml:space="preserve">lanzó el </w:t>
      </w:r>
      <w:r w:rsidR="00157DD9" w:rsidRPr="005930D9">
        <w:rPr>
          <w:rFonts w:ascii="Arial" w:hAnsi="Arial"/>
          <w:sz w:val="19"/>
          <w:szCs w:val="19"/>
          <w:lang w:val="es-MX"/>
        </w:rPr>
        <w:t>sub-proyecto</w:t>
      </w:r>
      <w:r w:rsidR="00334780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334780" w:rsidRPr="005930D9">
        <w:rPr>
          <w:rFonts w:ascii="Arial" w:hAnsi="Arial"/>
          <w:w w:val="105"/>
          <w:sz w:val="19"/>
          <w:szCs w:val="19"/>
        </w:rPr>
        <w:t>“Fortalecimiento de la Gestión para la Habilitación Sanitaria de</w:t>
      </w:r>
      <w:r w:rsidR="00E268A3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334780" w:rsidRPr="005930D9">
        <w:rPr>
          <w:rFonts w:ascii="Arial" w:hAnsi="Arial"/>
          <w:w w:val="105"/>
          <w:sz w:val="19"/>
          <w:szCs w:val="19"/>
        </w:rPr>
        <w:t>Centros de Producción Acuícola en la Región Puno”,</w:t>
      </w:r>
      <w:r w:rsidR="00A8451C" w:rsidRPr="005930D9">
        <w:rPr>
          <w:rFonts w:ascii="Arial" w:hAnsi="Arial"/>
          <w:w w:val="105"/>
          <w:sz w:val="19"/>
          <w:szCs w:val="19"/>
        </w:rPr>
        <w:t xml:space="preserve"> </w:t>
      </w:r>
      <w:r w:rsidR="00666029" w:rsidRPr="005930D9">
        <w:rPr>
          <w:rFonts w:ascii="Arial" w:hAnsi="Arial"/>
          <w:w w:val="105"/>
          <w:sz w:val="19"/>
          <w:szCs w:val="19"/>
        </w:rPr>
        <w:t>con lo cual promueve que</w:t>
      </w:r>
      <w:r w:rsidR="00E268A3" w:rsidRPr="005930D9">
        <w:rPr>
          <w:rFonts w:ascii="Arial" w:hAnsi="Arial"/>
          <w:w w:val="105"/>
          <w:sz w:val="19"/>
          <w:szCs w:val="19"/>
        </w:rPr>
        <w:t xml:space="preserve"> los </w:t>
      </w:r>
      <w:r w:rsidR="00524C86" w:rsidRPr="005930D9">
        <w:rPr>
          <w:rFonts w:ascii="Arial" w:hAnsi="Arial"/>
          <w:w w:val="105"/>
          <w:sz w:val="19"/>
          <w:szCs w:val="19"/>
        </w:rPr>
        <w:t>centro</w:t>
      </w:r>
      <w:r w:rsidR="00B81725" w:rsidRPr="005930D9">
        <w:rPr>
          <w:rFonts w:ascii="Arial" w:hAnsi="Arial"/>
          <w:w w:val="105"/>
          <w:sz w:val="19"/>
          <w:szCs w:val="19"/>
        </w:rPr>
        <w:t>s productores</w:t>
      </w:r>
      <w:r w:rsidR="00524C86" w:rsidRPr="005930D9">
        <w:rPr>
          <w:rFonts w:ascii="Arial" w:hAnsi="Arial"/>
          <w:w w:val="105"/>
          <w:sz w:val="19"/>
          <w:szCs w:val="19"/>
        </w:rPr>
        <w:t xml:space="preserve"> de </w:t>
      </w:r>
      <w:r w:rsidR="00E268A3" w:rsidRPr="005930D9">
        <w:rPr>
          <w:rFonts w:ascii="Arial" w:hAnsi="Arial"/>
          <w:w w:val="105"/>
          <w:sz w:val="19"/>
          <w:szCs w:val="19"/>
        </w:rPr>
        <w:t xml:space="preserve">trucha </w:t>
      </w:r>
      <w:r w:rsidR="0086166B">
        <w:rPr>
          <w:rFonts w:ascii="Arial" w:hAnsi="Arial"/>
          <w:w w:val="105"/>
          <w:sz w:val="19"/>
          <w:szCs w:val="19"/>
        </w:rPr>
        <w:t>obtengan el Título H</w:t>
      </w:r>
      <w:r w:rsidR="00666029" w:rsidRPr="005930D9">
        <w:rPr>
          <w:rFonts w:ascii="Arial" w:hAnsi="Arial"/>
          <w:w w:val="105"/>
          <w:sz w:val="19"/>
          <w:szCs w:val="19"/>
        </w:rPr>
        <w:t>abilitante, con lo cual se</w:t>
      </w:r>
      <w:r w:rsidR="00E268A3" w:rsidRPr="005930D9">
        <w:rPr>
          <w:rFonts w:ascii="Arial" w:hAnsi="Arial"/>
          <w:w w:val="105"/>
          <w:sz w:val="19"/>
          <w:szCs w:val="19"/>
        </w:rPr>
        <w:t xml:space="preserve"> incrementará el comercio y la economía de la zona fronteriza con Bolivia.</w:t>
      </w:r>
    </w:p>
    <w:p w14:paraId="4A4DDC03" w14:textId="77777777" w:rsidR="009F24F5" w:rsidRPr="005930D9" w:rsidRDefault="009F24F5" w:rsidP="0086166B">
      <w:pPr>
        <w:pStyle w:val="Sinespaciado"/>
        <w:jc w:val="both"/>
        <w:rPr>
          <w:rFonts w:ascii="Arial" w:hAnsi="Arial"/>
          <w:color w:val="0000FF"/>
          <w:sz w:val="19"/>
          <w:szCs w:val="19"/>
          <w:lang w:val="es-MX"/>
        </w:rPr>
      </w:pPr>
    </w:p>
    <w:p w14:paraId="69A130F7" w14:textId="3DDEE119" w:rsidR="00157DD9" w:rsidRPr="005930D9" w:rsidRDefault="00705A86" w:rsidP="0086166B">
      <w:pPr>
        <w:pStyle w:val="Sinespaciado"/>
        <w:jc w:val="both"/>
        <w:rPr>
          <w:rFonts w:ascii="Arial" w:hAnsi="Arial"/>
          <w:sz w:val="19"/>
          <w:szCs w:val="19"/>
        </w:rPr>
      </w:pPr>
      <w:r w:rsidRPr="005930D9">
        <w:rPr>
          <w:rFonts w:ascii="Arial" w:hAnsi="Arial"/>
          <w:sz w:val="19"/>
          <w:szCs w:val="19"/>
          <w:lang w:val="es-MX"/>
        </w:rPr>
        <w:t xml:space="preserve">El </w:t>
      </w:r>
      <w:r w:rsidR="00A8451C" w:rsidRPr="005930D9">
        <w:rPr>
          <w:rFonts w:ascii="Arial" w:hAnsi="Arial"/>
          <w:sz w:val="19"/>
          <w:szCs w:val="19"/>
          <w:lang w:val="es-MX"/>
        </w:rPr>
        <w:t xml:space="preserve">subproyecto </w:t>
      </w:r>
      <w:r w:rsidR="001B6DCE">
        <w:rPr>
          <w:rFonts w:ascii="Arial" w:hAnsi="Arial"/>
          <w:sz w:val="19"/>
          <w:szCs w:val="19"/>
          <w:lang w:val="es-MX"/>
        </w:rPr>
        <w:t>financiado</w:t>
      </w:r>
      <w:r w:rsidR="009C543C" w:rsidRPr="005930D9">
        <w:rPr>
          <w:rFonts w:ascii="Arial" w:hAnsi="Arial"/>
          <w:sz w:val="19"/>
          <w:szCs w:val="19"/>
          <w:lang w:val="es-MX"/>
        </w:rPr>
        <w:t xml:space="preserve"> a través d</w:t>
      </w:r>
      <w:r w:rsidR="00157DD9" w:rsidRPr="005930D9">
        <w:rPr>
          <w:rFonts w:ascii="Arial" w:hAnsi="Arial"/>
          <w:sz w:val="19"/>
          <w:szCs w:val="19"/>
          <w:lang w:val="es-MX"/>
        </w:rPr>
        <w:t xml:space="preserve">el </w:t>
      </w:r>
      <w:r w:rsidR="00157DD9" w:rsidRPr="005930D9">
        <w:rPr>
          <w:rFonts w:ascii="Arial" w:hAnsi="Arial"/>
          <w:w w:val="105"/>
          <w:sz w:val="19"/>
          <w:szCs w:val="19"/>
        </w:rPr>
        <w:t xml:space="preserve">Programa Nacional de Innovación en Pesca y Acuicultura (PNIPA), </w:t>
      </w:r>
      <w:r w:rsidR="00E41586" w:rsidRPr="005930D9">
        <w:rPr>
          <w:rFonts w:ascii="Arial" w:hAnsi="Arial"/>
          <w:w w:val="105"/>
          <w:sz w:val="19"/>
          <w:szCs w:val="19"/>
        </w:rPr>
        <w:t xml:space="preserve">y del cual Sanipes es la entidad ejecutora (PNIPA-ACU-SFOCA-PP-001), </w:t>
      </w:r>
      <w:r w:rsidR="00157DD9" w:rsidRPr="005930D9">
        <w:rPr>
          <w:rFonts w:ascii="Arial" w:hAnsi="Arial"/>
          <w:w w:val="105"/>
          <w:sz w:val="19"/>
          <w:szCs w:val="19"/>
        </w:rPr>
        <w:t>fo</w:t>
      </w:r>
      <w:r w:rsidR="00157DD9" w:rsidRPr="005930D9">
        <w:rPr>
          <w:rFonts w:ascii="Arial" w:hAnsi="Arial"/>
          <w:sz w:val="19"/>
          <w:szCs w:val="19"/>
        </w:rPr>
        <w:t xml:space="preserve">rtalecerá los conocimientos y habilidades de 180 productores de trucha de la región altoandina, e impulsará </w:t>
      </w:r>
      <w:r w:rsidR="004C4304" w:rsidRPr="005930D9">
        <w:rPr>
          <w:rFonts w:ascii="Arial" w:hAnsi="Arial"/>
          <w:sz w:val="19"/>
          <w:szCs w:val="19"/>
        </w:rPr>
        <w:t>la habilitación sanitaria de sus centros de producción</w:t>
      </w:r>
      <w:r w:rsidR="004C4304" w:rsidRPr="005930D9">
        <w:rPr>
          <w:rFonts w:ascii="Arial" w:hAnsi="Arial"/>
          <w:spacing w:val="1"/>
          <w:sz w:val="19"/>
          <w:szCs w:val="19"/>
        </w:rPr>
        <w:t xml:space="preserve"> </w:t>
      </w:r>
      <w:r w:rsidR="00A8451C" w:rsidRPr="005930D9">
        <w:rPr>
          <w:rFonts w:ascii="Arial" w:hAnsi="Arial"/>
          <w:sz w:val="19"/>
          <w:szCs w:val="19"/>
        </w:rPr>
        <w:t xml:space="preserve">acuícola, con el fin de garantizar la </w:t>
      </w:r>
      <w:r w:rsidR="0006745D" w:rsidRPr="005930D9">
        <w:rPr>
          <w:rFonts w:ascii="Arial" w:hAnsi="Arial"/>
          <w:sz w:val="19"/>
          <w:szCs w:val="19"/>
        </w:rPr>
        <w:t xml:space="preserve">sanidad e </w:t>
      </w:r>
      <w:r w:rsidR="006A394B" w:rsidRPr="005930D9">
        <w:rPr>
          <w:rFonts w:ascii="Arial" w:hAnsi="Arial"/>
          <w:sz w:val="19"/>
          <w:szCs w:val="19"/>
        </w:rPr>
        <w:t>inocuidad de los recurso</w:t>
      </w:r>
      <w:r w:rsidR="00D552BA" w:rsidRPr="005930D9">
        <w:rPr>
          <w:rFonts w:ascii="Arial" w:hAnsi="Arial"/>
          <w:sz w:val="19"/>
          <w:szCs w:val="19"/>
        </w:rPr>
        <w:t>s</w:t>
      </w:r>
      <w:r w:rsidR="006A394B" w:rsidRPr="005930D9">
        <w:rPr>
          <w:rFonts w:ascii="Arial" w:hAnsi="Arial"/>
          <w:sz w:val="19"/>
          <w:szCs w:val="19"/>
        </w:rPr>
        <w:t xml:space="preserve"> y </w:t>
      </w:r>
      <w:r w:rsidR="00A8451C" w:rsidRPr="005930D9">
        <w:rPr>
          <w:rFonts w:ascii="Arial" w:hAnsi="Arial"/>
          <w:sz w:val="19"/>
          <w:szCs w:val="19"/>
        </w:rPr>
        <w:t>producto</w:t>
      </w:r>
      <w:r w:rsidR="006A394B" w:rsidRPr="005930D9">
        <w:rPr>
          <w:rFonts w:ascii="Arial" w:hAnsi="Arial"/>
          <w:sz w:val="19"/>
          <w:szCs w:val="19"/>
        </w:rPr>
        <w:t xml:space="preserve">s acuícolas, </w:t>
      </w:r>
      <w:r w:rsidR="00A8451C" w:rsidRPr="005930D9">
        <w:rPr>
          <w:rFonts w:ascii="Arial" w:hAnsi="Arial"/>
          <w:sz w:val="19"/>
          <w:szCs w:val="19"/>
        </w:rPr>
        <w:t>y que la habilitación sanitaria sea sostenible con el tiempo.</w:t>
      </w:r>
    </w:p>
    <w:p w14:paraId="3DC4B223" w14:textId="77777777" w:rsidR="004C4304" w:rsidRPr="005930D9" w:rsidRDefault="004C4304" w:rsidP="0086166B">
      <w:pPr>
        <w:pStyle w:val="Sinespaciado"/>
        <w:jc w:val="both"/>
        <w:rPr>
          <w:rFonts w:ascii="Arial" w:hAnsi="Arial"/>
          <w:color w:val="0000FF"/>
          <w:sz w:val="19"/>
          <w:szCs w:val="19"/>
        </w:rPr>
      </w:pPr>
    </w:p>
    <w:p w14:paraId="4E718525" w14:textId="5888D603" w:rsidR="004C4304" w:rsidRPr="005930D9" w:rsidRDefault="004C4304" w:rsidP="0086166B">
      <w:pPr>
        <w:pStyle w:val="Sinespaciado"/>
        <w:jc w:val="both"/>
        <w:rPr>
          <w:rFonts w:ascii="Arial" w:hAnsi="Arial"/>
          <w:sz w:val="19"/>
          <w:szCs w:val="19"/>
          <w:lang w:val="es-MX"/>
        </w:rPr>
      </w:pPr>
      <w:r w:rsidRPr="005930D9">
        <w:rPr>
          <w:rFonts w:ascii="Arial" w:hAnsi="Arial"/>
          <w:sz w:val="19"/>
          <w:szCs w:val="19"/>
          <w:lang w:val="es-MX"/>
        </w:rPr>
        <w:t xml:space="preserve">En la ceremonia de lanzamiento realizada en la ciudad de Puno, el presidente ejecutivo de Sanipes, Johnny Marchán Peña, </w:t>
      </w:r>
      <w:r w:rsidR="00446A22" w:rsidRPr="005930D9">
        <w:rPr>
          <w:rFonts w:ascii="Arial" w:hAnsi="Arial"/>
          <w:sz w:val="19"/>
          <w:szCs w:val="19"/>
          <w:lang w:val="es-MX"/>
        </w:rPr>
        <w:t>manifestó que los agentes acuícolas pasarán una previa</w:t>
      </w:r>
      <w:r w:rsidR="00920214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EF6AE3" w:rsidRPr="005930D9">
        <w:rPr>
          <w:rFonts w:ascii="Arial" w:hAnsi="Arial"/>
          <w:sz w:val="19"/>
          <w:szCs w:val="19"/>
          <w:lang w:val="es-MX"/>
        </w:rPr>
        <w:t>selección</w:t>
      </w:r>
      <w:r w:rsidR="009753F9">
        <w:rPr>
          <w:rFonts w:ascii="Arial" w:hAnsi="Arial"/>
          <w:sz w:val="19"/>
          <w:szCs w:val="19"/>
          <w:lang w:val="es-MX"/>
        </w:rPr>
        <w:t>,</w:t>
      </w:r>
      <w:r w:rsidR="00867B25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EF6AE3" w:rsidRPr="005930D9">
        <w:rPr>
          <w:rFonts w:ascii="Arial" w:hAnsi="Arial"/>
          <w:sz w:val="19"/>
          <w:szCs w:val="19"/>
          <w:lang w:val="es-MX"/>
        </w:rPr>
        <w:t xml:space="preserve">luego </w:t>
      </w:r>
      <w:r w:rsidR="00446A22" w:rsidRPr="005930D9">
        <w:rPr>
          <w:rFonts w:ascii="Arial" w:hAnsi="Arial"/>
          <w:sz w:val="19"/>
          <w:szCs w:val="19"/>
          <w:lang w:val="es-MX"/>
        </w:rPr>
        <w:t xml:space="preserve">recibirán </w:t>
      </w:r>
      <w:r w:rsidR="001B6DCE">
        <w:rPr>
          <w:rFonts w:ascii="Arial" w:hAnsi="Arial"/>
          <w:sz w:val="19"/>
          <w:szCs w:val="19"/>
          <w:lang w:val="es-MX"/>
        </w:rPr>
        <w:t>fortalecimiento de</w:t>
      </w:r>
      <w:r w:rsidR="00A8451C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446A22" w:rsidRPr="005930D9">
        <w:rPr>
          <w:rFonts w:ascii="Arial" w:hAnsi="Arial"/>
          <w:sz w:val="19"/>
          <w:szCs w:val="19"/>
          <w:lang w:val="es-MX"/>
        </w:rPr>
        <w:t>capaci</w:t>
      </w:r>
      <w:r w:rsidR="001B6DCE">
        <w:rPr>
          <w:rFonts w:ascii="Arial" w:hAnsi="Arial"/>
          <w:sz w:val="19"/>
          <w:szCs w:val="19"/>
          <w:lang w:val="es-MX"/>
        </w:rPr>
        <w:t>dades</w:t>
      </w:r>
      <w:r w:rsidR="00313B12" w:rsidRPr="005930D9">
        <w:rPr>
          <w:rFonts w:ascii="Arial" w:hAnsi="Arial"/>
          <w:sz w:val="19"/>
          <w:szCs w:val="19"/>
          <w:lang w:val="es-MX"/>
        </w:rPr>
        <w:t>,</w:t>
      </w:r>
      <w:r w:rsidR="00920214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446A22" w:rsidRPr="005930D9">
        <w:rPr>
          <w:rFonts w:ascii="Arial" w:hAnsi="Arial"/>
          <w:sz w:val="19"/>
          <w:szCs w:val="19"/>
          <w:lang w:val="es-MX"/>
        </w:rPr>
        <w:t xml:space="preserve">visitas técnicas </w:t>
      </w:r>
      <w:r w:rsidR="00920214" w:rsidRPr="005930D9">
        <w:rPr>
          <w:rFonts w:ascii="Arial" w:hAnsi="Arial"/>
          <w:sz w:val="19"/>
          <w:szCs w:val="19"/>
          <w:lang w:val="es-MX"/>
        </w:rPr>
        <w:t>especializadas</w:t>
      </w:r>
      <w:r w:rsidR="00313B12" w:rsidRPr="005930D9">
        <w:rPr>
          <w:rFonts w:ascii="Arial" w:hAnsi="Arial"/>
          <w:sz w:val="19"/>
          <w:szCs w:val="19"/>
          <w:lang w:val="es-MX"/>
        </w:rPr>
        <w:t xml:space="preserve">, elaboración </w:t>
      </w:r>
      <w:r w:rsidR="00E41586" w:rsidRPr="005930D9">
        <w:rPr>
          <w:rFonts w:ascii="Arial" w:hAnsi="Arial"/>
          <w:sz w:val="19"/>
          <w:szCs w:val="19"/>
          <w:lang w:val="es-MX"/>
        </w:rPr>
        <w:t xml:space="preserve">de </w:t>
      </w:r>
      <w:r w:rsidR="00313B12" w:rsidRPr="005930D9">
        <w:rPr>
          <w:rFonts w:ascii="Arial" w:hAnsi="Arial"/>
          <w:sz w:val="19"/>
          <w:szCs w:val="19"/>
          <w:lang w:val="es-MX"/>
        </w:rPr>
        <w:t>planos, memoria descriptiva y manuales de calidad según los requisitos estipulados en el T</w:t>
      </w:r>
      <w:r w:rsidR="0017523A" w:rsidRPr="005930D9">
        <w:rPr>
          <w:rFonts w:ascii="Arial" w:hAnsi="Arial"/>
          <w:sz w:val="19"/>
          <w:szCs w:val="19"/>
          <w:lang w:val="es-MX"/>
        </w:rPr>
        <w:t>exto Único de Proce</w:t>
      </w:r>
      <w:r w:rsidR="009753F9">
        <w:rPr>
          <w:rFonts w:ascii="Arial" w:hAnsi="Arial"/>
          <w:sz w:val="19"/>
          <w:szCs w:val="19"/>
          <w:lang w:val="es-MX"/>
        </w:rPr>
        <w:t>dimientos Administrativos por p</w:t>
      </w:r>
      <w:r w:rsidR="0017523A" w:rsidRPr="005930D9">
        <w:rPr>
          <w:rFonts w:ascii="Arial" w:hAnsi="Arial"/>
          <w:sz w:val="19"/>
          <w:szCs w:val="19"/>
          <w:lang w:val="es-MX"/>
        </w:rPr>
        <w:t>arte del personal de Sanipes</w:t>
      </w:r>
      <w:r w:rsidR="00920214" w:rsidRPr="005930D9">
        <w:rPr>
          <w:rFonts w:ascii="Arial" w:hAnsi="Arial"/>
          <w:sz w:val="19"/>
          <w:szCs w:val="19"/>
          <w:lang w:val="es-MX"/>
        </w:rPr>
        <w:t>.</w:t>
      </w:r>
    </w:p>
    <w:p w14:paraId="740DAABD" w14:textId="77777777" w:rsidR="004C4304" w:rsidRPr="005930D9" w:rsidRDefault="004C4304" w:rsidP="0086166B">
      <w:pPr>
        <w:pStyle w:val="Sinespaciado"/>
        <w:jc w:val="both"/>
        <w:rPr>
          <w:rFonts w:ascii="Arial" w:hAnsi="Arial"/>
          <w:sz w:val="19"/>
          <w:szCs w:val="19"/>
          <w:lang w:val="es-MX"/>
        </w:rPr>
      </w:pPr>
    </w:p>
    <w:p w14:paraId="3DF2C8C6" w14:textId="3D3085C6" w:rsidR="004C4304" w:rsidRPr="005930D9" w:rsidRDefault="004C4304" w:rsidP="0086166B">
      <w:pPr>
        <w:pStyle w:val="Sinespaciado"/>
        <w:jc w:val="both"/>
        <w:rPr>
          <w:rFonts w:ascii="Arial" w:hAnsi="Arial"/>
          <w:sz w:val="19"/>
          <w:szCs w:val="19"/>
          <w:lang w:val="es-MX"/>
        </w:rPr>
      </w:pPr>
      <w:r w:rsidRPr="005930D9">
        <w:rPr>
          <w:rFonts w:ascii="Arial" w:hAnsi="Arial"/>
          <w:sz w:val="19"/>
          <w:szCs w:val="19"/>
        </w:rPr>
        <w:t>Por su parte el gobernador regional de Puno, Agustín Luque Chayña</w:t>
      </w:r>
      <w:r w:rsidR="00CF688B">
        <w:rPr>
          <w:rFonts w:ascii="Arial" w:hAnsi="Arial"/>
          <w:sz w:val="19"/>
          <w:szCs w:val="19"/>
        </w:rPr>
        <w:t>,</w:t>
      </w:r>
      <w:r w:rsidR="001B6DCE">
        <w:rPr>
          <w:rFonts w:ascii="Arial" w:hAnsi="Arial"/>
          <w:sz w:val="19"/>
          <w:szCs w:val="19"/>
        </w:rPr>
        <w:t xml:space="preserve"> </w:t>
      </w:r>
      <w:r w:rsidRPr="005930D9">
        <w:rPr>
          <w:rFonts w:ascii="Arial" w:hAnsi="Arial"/>
          <w:sz w:val="19"/>
          <w:szCs w:val="19"/>
        </w:rPr>
        <w:t>quien también pa</w:t>
      </w:r>
      <w:r w:rsidR="00CF688B">
        <w:rPr>
          <w:rFonts w:ascii="Arial" w:hAnsi="Arial"/>
          <w:sz w:val="19"/>
          <w:szCs w:val="19"/>
        </w:rPr>
        <w:t xml:space="preserve">rticipó del evento, </w:t>
      </w:r>
      <w:r w:rsidR="00C3779B">
        <w:rPr>
          <w:rFonts w:ascii="Arial" w:hAnsi="Arial"/>
          <w:sz w:val="19"/>
          <w:szCs w:val="19"/>
        </w:rPr>
        <w:t>destacó el trabajo articulado que viene desarrollando con Sanipes para beneficio de los productores de trucha de la región</w:t>
      </w:r>
      <w:r w:rsidR="00CF688B">
        <w:rPr>
          <w:rFonts w:ascii="Arial" w:hAnsi="Arial"/>
          <w:sz w:val="19"/>
          <w:szCs w:val="19"/>
        </w:rPr>
        <w:t>, con el fin de promover la formalización de los centros de cultivo.</w:t>
      </w:r>
      <w:bookmarkStart w:id="0" w:name="_GoBack"/>
      <w:bookmarkEnd w:id="0"/>
    </w:p>
    <w:p w14:paraId="2DD15E70" w14:textId="77777777" w:rsidR="006B74A2" w:rsidRPr="005930D9" w:rsidRDefault="006B74A2" w:rsidP="0086166B">
      <w:pPr>
        <w:pStyle w:val="Sinespaciado"/>
        <w:jc w:val="both"/>
        <w:rPr>
          <w:rFonts w:ascii="Arial" w:hAnsi="Arial"/>
          <w:color w:val="0000FF"/>
          <w:w w:val="105"/>
          <w:sz w:val="19"/>
          <w:szCs w:val="19"/>
        </w:rPr>
      </w:pPr>
    </w:p>
    <w:p w14:paraId="136AA49A" w14:textId="134997FA" w:rsidR="009F24F5" w:rsidRDefault="006B74A2" w:rsidP="0086166B">
      <w:pPr>
        <w:pStyle w:val="Sinespaciado"/>
        <w:jc w:val="both"/>
        <w:rPr>
          <w:rFonts w:ascii="Arial" w:hAnsi="Arial"/>
          <w:w w:val="105"/>
          <w:sz w:val="19"/>
          <w:szCs w:val="19"/>
        </w:rPr>
      </w:pPr>
      <w:r w:rsidRPr="005930D9">
        <w:rPr>
          <w:rFonts w:ascii="Arial" w:hAnsi="Arial"/>
          <w:sz w:val="19"/>
          <w:szCs w:val="19"/>
          <w:lang w:val="es-MX"/>
        </w:rPr>
        <w:t xml:space="preserve">Sanipes busca dismuir la brecha actual que existe en la región Puno, ya que de los </w:t>
      </w:r>
      <w:r w:rsidR="00E06504" w:rsidRPr="005930D9">
        <w:rPr>
          <w:rFonts w:ascii="Arial" w:hAnsi="Arial"/>
          <w:w w:val="105"/>
          <w:sz w:val="19"/>
          <w:szCs w:val="19"/>
        </w:rPr>
        <w:t xml:space="preserve">581 </w:t>
      </w:r>
      <w:r w:rsidRPr="005930D9">
        <w:rPr>
          <w:rFonts w:ascii="Arial" w:hAnsi="Arial"/>
          <w:w w:val="105"/>
          <w:sz w:val="19"/>
          <w:szCs w:val="19"/>
        </w:rPr>
        <w:t xml:space="preserve">centros de producción acuícola con derechos otorgados de la </w:t>
      </w:r>
      <w:r w:rsidRPr="005930D9">
        <w:rPr>
          <w:rFonts w:ascii="Arial" w:eastAsia="Times New Roman" w:hAnsi="Arial"/>
          <w:sz w:val="19"/>
          <w:szCs w:val="19"/>
          <w:shd w:val="clear" w:color="auto" w:fill="FFFFFF"/>
          <w:lang w:val="es-ES_tradnl" w:eastAsia="es-ES"/>
        </w:rPr>
        <w:t>Acuicultura de Micro y Pequeña Empresa (</w:t>
      </w:r>
      <w:r w:rsidRPr="005930D9">
        <w:rPr>
          <w:rFonts w:ascii="Arial" w:hAnsi="Arial"/>
          <w:w w:val="105"/>
          <w:sz w:val="19"/>
          <w:szCs w:val="19"/>
        </w:rPr>
        <w:t xml:space="preserve">AMYPE) y la </w:t>
      </w:r>
      <w:r w:rsidRPr="005930D9">
        <w:rPr>
          <w:rFonts w:ascii="Arial" w:eastAsia="Times New Roman" w:hAnsi="Arial"/>
          <w:sz w:val="19"/>
          <w:szCs w:val="19"/>
          <w:shd w:val="clear" w:color="auto" w:fill="FFFFFF"/>
          <w:lang w:val="es-ES_tradnl" w:eastAsia="es-ES"/>
        </w:rPr>
        <w:t>Acuicultura de Mediana y Gran Empresa (</w:t>
      </w:r>
      <w:r w:rsidRPr="005930D9">
        <w:rPr>
          <w:rFonts w:ascii="Arial" w:hAnsi="Arial"/>
          <w:w w:val="105"/>
          <w:sz w:val="19"/>
          <w:szCs w:val="19"/>
        </w:rPr>
        <w:t>AMYGE), so</w:t>
      </w:r>
      <w:r w:rsidR="00E06504" w:rsidRPr="005930D9">
        <w:rPr>
          <w:rFonts w:ascii="Arial" w:hAnsi="Arial"/>
          <w:w w:val="105"/>
          <w:sz w:val="19"/>
          <w:szCs w:val="19"/>
        </w:rPr>
        <w:t xml:space="preserve">lo 64 </w:t>
      </w:r>
      <w:r w:rsidR="00FB2D86" w:rsidRPr="005930D9">
        <w:rPr>
          <w:rFonts w:ascii="Arial" w:hAnsi="Arial"/>
          <w:w w:val="105"/>
          <w:sz w:val="19"/>
          <w:szCs w:val="19"/>
        </w:rPr>
        <w:t>cuentan con protocolo técnico de habilitación sanitaria</w:t>
      </w:r>
      <w:r w:rsidR="0095481E">
        <w:rPr>
          <w:rFonts w:ascii="Arial" w:hAnsi="Arial"/>
          <w:w w:val="105"/>
          <w:sz w:val="19"/>
          <w:szCs w:val="19"/>
        </w:rPr>
        <w:t>.</w:t>
      </w:r>
    </w:p>
    <w:p w14:paraId="2DECB302" w14:textId="77777777" w:rsidR="0086166B" w:rsidRDefault="0086166B" w:rsidP="0086166B">
      <w:pPr>
        <w:pStyle w:val="Sinespaciado"/>
        <w:jc w:val="both"/>
        <w:rPr>
          <w:rFonts w:ascii="Arial" w:hAnsi="Arial"/>
          <w:w w:val="105"/>
          <w:sz w:val="19"/>
          <w:szCs w:val="19"/>
        </w:rPr>
      </w:pPr>
    </w:p>
    <w:p w14:paraId="5CE9969C" w14:textId="77777777" w:rsidR="0086166B" w:rsidRPr="005930D9" w:rsidRDefault="0086166B" w:rsidP="0086166B">
      <w:pPr>
        <w:pStyle w:val="Sinespaciado"/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Dato</w:t>
      </w:r>
      <w:r w:rsidRPr="005930D9">
        <w:rPr>
          <w:rFonts w:ascii="Arial" w:hAnsi="Arial"/>
          <w:b/>
          <w:lang w:val="es-MX"/>
        </w:rPr>
        <w:t xml:space="preserve"> de Interes</w:t>
      </w:r>
    </w:p>
    <w:p w14:paraId="0843D91C" w14:textId="77777777" w:rsidR="0086166B" w:rsidRPr="005930D9" w:rsidRDefault="0086166B" w:rsidP="0086166B">
      <w:pPr>
        <w:pStyle w:val="Sinespaciado"/>
        <w:jc w:val="both"/>
        <w:rPr>
          <w:rFonts w:ascii="Arial" w:hAnsi="Arial"/>
          <w:w w:val="105"/>
          <w:sz w:val="19"/>
          <w:szCs w:val="19"/>
        </w:rPr>
      </w:pPr>
      <w:r w:rsidRPr="005930D9">
        <w:rPr>
          <w:rFonts w:ascii="Arial" w:hAnsi="Arial"/>
          <w:w w:val="105"/>
          <w:sz w:val="19"/>
          <w:szCs w:val="19"/>
        </w:rPr>
        <w:t>El Título Habilitante emitido por Sanipes, se obtiene a través de un procedimiento por el cual la autoridad sanitaria verifica que el diseño, construcción, equipamiento y las condiciones operativas de la infraestructura pesquera o acuícola cumpla con todos los requisitos señalados en la normativa sanitaria</w:t>
      </w:r>
      <w:r w:rsidRPr="005930D9">
        <w:rPr>
          <w:rFonts w:ascii="Arial" w:hAnsi="Arial"/>
          <w:spacing w:val="5"/>
          <w:w w:val="105"/>
          <w:sz w:val="19"/>
          <w:szCs w:val="19"/>
        </w:rPr>
        <w:t xml:space="preserve"> </w:t>
      </w:r>
      <w:r w:rsidRPr="005930D9">
        <w:rPr>
          <w:rFonts w:ascii="Arial" w:hAnsi="Arial"/>
          <w:w w:val="105"/>
          <w:sz w:val="19"/>
          <w:szCs w:val="19"/>
        </w:rPr>
        <w:t>vigente.</w:t>
      </w:r>
    </w:p>
    <w:p w14:paraId="40D14399" w14:textId="77777777" w:rsidR="005930D9" w:rsidRPr="005930D9" w:rsidRDefault="005930D9" w:rsidP="0086166B">
      <w:pPr>
        <w:pStyle w:val="Sinespaciado"/>
        <w:jc w:val="both"/>
        <w:rPr>
          <w:rFonts w:ascii="Arial" w:eastAsia="Times New Roman" w:hAnsi="Arial"/>
          <w:sz w:val="19"/>
          <w:szCs w:val="19"/>
          <w:lang w:val="es-ES_tradnl" w:eastAsia="es-ES"/>
        </w:rPr>
      </w:pPr>
    </w:p>
    <w:p w14:paraId="4B360F43" w14:textId="3F7C3073" w:rsidR="009F24F5" w:rsidRPr="005930D9" w:rsidRDefault="006A30F6" w:rsidP="0086166B">
      <w:pPr>
        <w:pStyle w:val="Sinespaciado"/>
        <w:jc w:val="both"/>
        <w:rPr>
          <w:rFonts w:ascii="Arial" w:hAnsi="Arial"/>
          <w:sz w:val="19"/>
          <w:szCs w:val="19"/>
          <w:lang w:val="es-MX"/>
        </w:rPr>
      </w:pPr>
      <w:r w:rsidRPr="005930D9">
        <w:rPr>
          <w:rFonts w:ascii="Arial" w:hAnsi="Arial"/>
          <w:sz w:val="19"/>
          <w:szCs w:val="19"/>
          <w:lang w:val="es-MX"/>
        </w:rPr>
        <w:t>“</w:t>
      </w:r>
      <w:r w:rsidR="00920214" w:rsidRPr="005930D9">
        <w:rPr>
          <w:rFonts w:ascii="Arial" w:hAnsi="Arial"/>
          <w:sz w:val="19"/>
          <w:szCs w:val="19"/>
        </w:rPr>
        <w:t>Es</w:t>
      </w:r>
      <w:r w:rsidR="00E845FE" w:rsidRPr="005930D9">
        <w:rPr>
          <w:rFonts w:ascii="Arial" w:hAnsi="Arial"/>
          <w:sz w:val="19"/>
          <w:szCs w:val="19"/>
        </w:rPr>
        <w:t>te plan permitirá</w:t>
      </w:r>
      <w:r w:rsidR="00920214" w:rsidRPr="005930D9">
        <w:rPr>
          <w:rFonts w:ascii="Arial" w:hAnsi="Arial"/>
          <w:sz w:val="19"/>
          <w:szCs w:val="19"/>
        </w:rPr>
        <w:t xml:space="preserve"> </w:t>
      </w:r>
      <w:r w:rsidR="00E845FE" w:rsidRPr="005930D9">
        <w:rPr>
          <w:rFonts w:ascii="Arial" w:hAnsi="Arial"/>
          <w:sz w:val="19"/>
          <w:szCs w:val="19"/>
        </w:rPr>
        <w:t>dar</w:t>
      </w:r>
      <w:r w:rsidR="00920214" w:rsidRPr="005930D9">
        <w:rPr>
          <w:rFonts w:ascii="Arial" w:hAnsi="Arial"/>
          <w:sz w:val="19"/>
          <w:szCs w:val="19"/>
        </w:rPr>
        <w:t xml:space="preserve"> cumplimiento </w:t>
      </w:r>
      <w:r w:rsidR="00E845FE" w:rsidRPr="005930D9">
        <w:rPr>
          <w:rFonts w:ascii="Arial" w:hAnsi="Arial"/>
          <w:sz w:val="19"/>
          <w:szCs w:val="19"/>
        </w:rPr>
        <w:t>a</w:t>
      </w:r>
      <w:r w:rsidR="00920214" w:rsidRPr="005930D9">
        <w:rPr>
          <w:rFonts w:ascii="Arial" w:hAnsi="Arial"/>
          <w:sz w:val="19"/>
          <w:szCs w:val="19"/>
        </w:rPr>
        <w:t xml:space="preserve"> la norma sanitaria, con el fin de garantizar la inocuidad del producto cultivado para su oferta al mercado nacional e internacional, además fortalece</w:t>
      </w:r>
      <w:r w:rsidR="00313B12" w:rsidRPr="005930D9">
        <w:rPr>
          <w:rFonts w:ascii="Arial" w:hAnsi="Arial"/>
          <w:sz w:val="19"/>
          <w:szCs w:val="19"/>
        </w:rPr>
        <w:t>rá</w:t>
      </w:r>
      <w:r w:rsidR="00920214" w:rsidRPr="005930D9">
        <w:rPr>
          <w:rFonts w:ascii="Arial" w:hAnsi="Arial"/>
          <w:sz w:val="19"/>
          <w:szCs w:val="19"/>
        </w:rPr>
        <w:t xml:space="preserve"> las capacidades de los fiscalizadores del Sanipes </w:t>
      </w:r>
      <w:r w:rsidR="006710A6" w:rsidRPr="005930D9">
        <w:rPr>
          <w:rFonts w:ascii="Arial" w:hAnsi="Arial"/>
          <w:sz w:val="19"/>
          <w:szCs w:val="19"/>
          <w:lang w:val="es-MX"/>
        </w:rPr>
        <w:t>y del personal de la GORE Puno</w:t>
      </w:r>
      <w:r w:rsidR="006710A6" w:rsidRPr="005930D9">
        <w:rPr>
          <w:rFonts w:ascii="Arial" w:hAnsi="Arial"/>
          <w:sz w:val="19"/>
          <w:szCs w:val="19"/>
        </w:rPr>
        <w:t xml:space="preserve"> </w:t>
      </w:r>
      <w:r w:rsidR="00920214" w:rsidRPr="005930D9">
        <w:rPr>
          <w:rFonts w:ascii="Arial" w:hAnsi="Arial"/>
          <w:sz w:val="19"/>
          <w:szCs w:val="19"/>
        </w:rPr>
        <w:t>para la realización de las auditorias</w:t>
      </w:r>
      <w:r w:rsidR="00920214" w:rsidRPr="005930D9">
        <w:rPr>
          <w:rFonts w:ascii="Arial" w:hAnsi="Arial"/>
          <w:spacing w:val="-1"/>
          <w:sz w:val="19"/>
          <w:szCs w:val="19"/>
        </w:rPr>
        <w:t xml:space="preserve"> </w:t>
      </w:r>
      <w:r w:rsidR="00920214" w:rsidRPr="005930D9">
        <w:rPr>
          <w:rFonts w:ascii="Arial" w:hAnsi="Arial"/>
          <w:sz w:val="19"/>
          <w:szCs w:val="19"/>
        </w:rPr>
        <w:t>sanitarias”</w:t>
      </w:r>
      <w:r w:rsidR="00920214" w:rsidRPr="005930D9">
        <w:rPr>
          <w:rFonts w:ascii="Arial" w:hAnsi="Arial"/>
          <w:sz w:val="19"/>
          <w:szCs w:val="19"/>
          <w:lang w:val="es-MX"/>
        </w:rPr>
        <w:t>,</w:t>
      </w:r>
      <w:r w:rsidR="006710A6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9F24F5" w:rsidRPr="005930D9">
        <w:rPr>
          <w:rFonts w:ascii="Arial" w:hAnsi="Arial"/>
          <w:sz w:val="19"/>
          <w:szCs w:val="19"/>
          <w:lang w:val="es-MX"/>
        </w:rPr>
        <w:t>concluyó Marchán.</w:t>
      </w:r>
    </w:p>
    <w:p w14:paraId="0155E782" w14:textId="77777777" w:rsidR="00920214" w:rsidRPr="005930D9" w:rsidRDefault="00920214" w:rsidP="0086166B">
      <w:pPr>
        <w:pStyle w:val="Sinespaciado"/>
        <w:jc w:val="both"/>
        <w:rPr>
          <w:rFonts w:ascii="Arial" w:hAnsi="Arial"/>
          <w:color w:val="0000FF"/>
          <w:sz w:val="19"/>
          <w:szCs w:val="19"/>
          <w:lang w:val="es-MX"/>
        </w:rPr>
      </w:pPr>
    </w:p>
    <w:p w14:paraId="1BE31CAD" w14:textId="6C9C112A" w:rsidR="00971D51" w:rsidRPr="005930D9" w:rsidRDefault="00FB657C" w:rsidP="0086166B">
      <w:pPr>
        <w:pStyle w:val="Sinespaciado"/>
        <w:jc w:val="both"/>
        <w:rPr>
          <w:rFonts w:ascii="Arial" w:hAnsi="Arial"/>
          <w:sz w:val="19"/>
          <w:szCs w:val="19"/>
          <w:lang w:val="es-MX"/>
        </w:rPr>
      </w:pPr>
      <w:r w:rsidRPr="005930D9">
        <w:rPr>
          <w:rFonts w:ascii="Arial" w:hAnsi="Arial"/>
          <w:sz w:val="19"/>
          <w:szCs w:val="19"/>
          <w:lang w:val="es-MX"/>
        </w:rPr>
        <w:t>Adicionalmente</w:t>
      </w:r>
      <w:r w:rsidR="00920214" w:rsidRPr="005930D9">
        <w:rPr>
          <w:rFonts w:ascii="Arial" w:hAnsi="Arial"/>
          <w:sz w:val="19"/>
          <w:szCs w:val="19"/>
          <w:lang w:val="es-MX"/>
        </w:rPr>
        <w:t xml:space="preserve"> en la reunión</w:t>
      </w:r>
      <w:r w:rsidR="0086166B">
        <w:rPr>
          <w:rFonts w:ascii="Arial" w:hAnsi="Arial"/>
          <w:sz w:val="19"/>
          <w:szCs w:val="19"/>
          <w:lang w:val="es-MX"/>
        </w:rPr>
        <w:t>,</w:t>
      </w:r>
      <w:r w:rsidR="00920214" w:rsidRPr="005930D9">
        <w:rPr>
          <w:rFonts w:ascii="Arial" w:hAnsi="Arial"/>
          <w:sz w:val="19"/>
          <w:szCs w:val="19"/>
          <w:lang w:val="es-MX"/>
        </w:rPr>
        <w:t xml:space="preserve"> también s</w:t>
      </w:r>
      <w:r w:rsidRPr="005930D9">
        <w:rPr>
          <w:rFonts w:ascii="Arial" w:hAnsi="Arial"/>
          <w:sz w:val="19"/>
          <w:szCs w:val="19"/>
          <w:lang w:val="es-MX"/>
        </w:rPr>
        <w:t>e</w:t>
      </w:r>
      <w:r w:rsidR="00920214" w:rsidRPr="005930D9">
        <w:rPr>
          <w:rFonts w:ascii="Arial" w:hAnsi="Arial"/>
          <w:sz w:val="19"/>
          <w:szCs w:val="19"/>
          <w:lang w:val="es-MX"/>
        </w:rPr>
        <w:t xml:space="preserve"> </w:t>
      </w:r>
      <w:r w:rsidR="00313B12" w:rsidRPr="005930D9">
        <w:rPr>
          <w:rFonts w:ascii="Arial" w:hAnsi="Arial"/>
          <w:sz w:val="19"/>
          <w:szCs w:val="19"/>
          <w:lang w:val="es-MX"/>
        </w:rPr>
        <w:t>firmó</w:t>
      </w:r>
      <w:r w:rsidR="00920214" w:rsidRPr="005930D9">
        <w:rPr>
          <w:rFonts w:ascii="Arial" w:hAnsi="Arial"/>
          <w:sz w:val="19"/>
          <w:szCs w:val="19"/>
          <w:lang w:val="es-MX"/>
        </w:rPr>
        <w:t xml:space="preserve"> la adenda de</w:t>
      </w:r>
      <w:r w:rsidR="00313B12" w:rsidRPr="005930D9">
        <w:rPr>
          <w:rFonts w:ascii="Arial" w:hAnsi="Arial"/>
          <w:sz w:val="19"/>
          <w:szCs w:val="19"/>
          <w:lang w:val="es-MX"/>
        </w:rPr>
        <w:t xml:space="preserve">l convenio de cooperación interinstitucional entre el </w:t>
      </w:r>
      <w:r w:rsidR="006710A6" w:rsidRPr="005930D9">
        <w:rPr>
          <w:rFonts w:ascii="Arial" w:hAnsi="Arial"/>
          <w:sz w:val="19"/>
          <w:szCs w:val="19"/>
          <w:lang w:val="es-MX"/>
        </w:rPr>
        <w:t>Gobierno R</w:t>
      </w:r>
      <w:r w:rsidR="005B138A" w:rsidRPr="005930D9">
        <w:rPr>
          <w:rFonts w:ascii="Arial" w:hAnsi="Arial"/>
          <w:sz w:val="19"/>
          <w:szCs w:val="19"/>
          <w:lang w:val="es-MX"/>
        </w:rPr>
        <w:t xml:space="preserve">egional Puno y </w:t>
      </w:r>
      <w:r w:rsidR="006710A6" w:rsidRPr="005930D9">
        <w:rPr>
          <w:rFonts w:ascii="Arial" w:hAnsi="Arial"/>
          <w:sz w:val="19"/>
          <w:szCs w:val="19"/>
          <w:lang w:val="es-MX"/>
        </w:rPr>
        <w:t>Sanipes</w:t>
      </w:r>
      <w:r w:rsidR="00313B12" w:rsidRPr="005930D9">
        <w:rPr>
          <w:rFonts w:ascii="Arial" w:hAnsi="Arial"/>
          <w:sz w:val="19"/>
          <w:szCs w:val="19"/>
          <w:lang w:val="es-MX"/>
        </w:rPr>
        <w:t xml:space="preserve">, donde se incluye la participación del Proyecto </w:t>
      </w:r>
      <w:r w:rsidR="006710A6" w:rsidRPr="005930D9">
        <w:rPr>
          <w:rFonts w:ascii="Arial" w:hAnsi="Arial"/>
          <w:sz w:val="19"/>
          <w:szCs w:val="19"/>
          <w:lang w:val="es-MX"/>
        </w:rPr>
        <w:t>Especial Truchas del Titicaca (</w:t>
      </w:r>
      <w:r w:rsidR="00313B12" w:rsidRPr="005930D9">
        <w:rPr>
          <w:rFonts w:ascii="Arial" w:hAnsi="Arial"/>
          <w:sz w:val="19"/>
          <w:szCs w:val="19"/>
          <w:lang w:val="es-MX"/>
        </w:rPr>
        <w:t>PETT</w:t>
      </w:r>
      <w:r w:rsidR="006710A6" w:rsidRPr="005930D9">
        <w:rPr>
          <w:rFonts w:ascii="Arial" w:hAnsi="Arial"/>
          <w:sz w:val="19"/>
          <w:szCs w:val="19"/>
          <w:lang w:val="es-MX"/>
        </w:rPr>
        <w:t>)</w:t>
      </w:r>
      <w:r w:rsidR="005B138A" w:rsidRPr="005930D9">
        <w:rPr>
          <w:rFonts w:ascii="Arial" w:hAnsi="Arial"/>
          <w:sz w:val="19"/>
          <w:szCs w:val="19"/>
          <w:lang w:val="es-MX"/>
        </w:rPr>
        <w:t>;</w:t>
      </w:r>
      <w:r w:rsidR="00313B12" w:rsidRPr="005930D9">
        <w:rPr>
          <w:rFonts w:ascii="Arial" w:hAnsi="Arial"/>
          <w:sz w:val="19"/>
          <w:szCs w:val="19"/>
          <w:lang w:val="es-MX"/>
        </w:rPr>
        <w:t xml:space="preserve"> con el objeto de sumar esfuerzos para fomentar y fortalecer la cadena de producción acuícola, con l</w:t>
      </w:r>
      <w:r w:rsidR="005B138A" w:rsidRPr="005930D9">
        <w:rPr>
          <w:rFonts w:ascii="Arial" w:hAnsi="Arial"/>
          <w:sz w:val="19"/>
          <w:szCs w:val="19"/>
          <w:lang w:val="es-MX"/>
        </w:rPr>
        <w:t>el fin</w:t>
      </w:r>
      <w:r w:rsidR="00313B12" w:rsidRPr="005930D9">
        <w:rPr>
          <w:rFonts w:ascii="Arial" w:hAnsi="Arial"/>
          <w:sz w:val="19"/>
          <w:szCs w:val="19"/>
          <w:lang w:val="es-MX"/>
        </w:rPr>
        <w:t xml:space="preserve"> de garantizar la sanidad e inocuidad de los recursos y productos acuícola</w:t>
      </w:r>
      <w:r w:rsidR="0050233F" w:rsidRPr="005930D9">
        <w:rPr>
          <w:rFonts w:ascii="Arial" w:hAnsi="Arial"/>
          <w:sz w:val="19"/>
          <w:szCs w:val="19"/>
          <w:lang w:val="es-MX"/>
        </w:rPr>
        <w:t>s en la Región Puno, a trav</w:t>
      </w:r>
      <w:r w:rsidR="00971D51" w:rsidRPr="005930D9">
        <w:rPr>
          <w:rFonts w:ascii="Arial" w:hAnsi="Arial"/>
          <w:sz w:val="19"/>
          <w:szCs w:val="19"/>
          <w:lang w:val="es-MX"/>
        </w:rPr>
        <w:t>és de la Habilitación Sanitaria.</w:t>
      </w:r>
    </w:p>
    <w:p w14:paraId="2C39D728" w14:textId="77777777" w:rsidR="00971D51" w:rsidRDefault="00971D51" w:rsidP="00971D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  <w:lang w:val="es-MX"/>
        </w:rPr>
      </w:pPr>
    </w:p>
    <w:p w14:paraId="4188A368" w14:textId="4C7EE046" w:rsidR="008D0015" w:rsidRPr="00971D51" w:rsidRDefault="00971D51" w:rsidP="00971D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bCs/>
          <w:sz w:val="20"/>
          <w:szCs w:val="20"/>
        </w:rPr>
        <w:t>G</w:t>
      </w:r>
      <w:r w:rsidR="00A930C7">
        <w:rPr>
          <w:rFonts w:ascii="Arial" w:hAnsi="Arial" w:cs="Arial"/>
          <w:bCs/>
          <w:sz w:val="20"/>
          <w:szCs w:val="20"/>
        </w:rPr>
        <w:t>racias por su difusión.</w:t>
      </w:r>
    </w:p>
    <w:sectPr w:rsidR="008D0015" w:rsidRPr="00971D51" w:rsidSect="005B2FDE">
      <w:headerReference w:type="default" r:id="rId8"/>
      <w:footerReference w:type="default" r:id="rId9"/>
      <w:pgSz w:w="11906" w:h="16838"/>
      <w:pgMar w:top="1071" w:right="1701" w:bottom="1417" w:left="1701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7E341" w14:textId="77777777" w:rsidR="00666029" w:rsidRDefault="00666029" w:rsidP="00F15203">
      <w:pPr>
        <w:spacing w:after="0" w:line="240" w:lineRule="auto"/>
      </w:pPr>
      <w:r>
        <w:separator/>
      </w:r>
    </w:p>
  </w:endnote>
  <w:endnote w:type="continuationSeparator" w:id="0">
    <w:p w14:paraId="02E35A7D" w14:textId="77777777" w:rsidR="00666029" w:rsidRDefault="00666029" w:rsidP="00F1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42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53"/>
      <w:gridCol w:w="2338"/>
      <w:gridCol w:w="2056"/>
      <w:gridCol w:w="1417"/>
      <w:gridCol w:w="1418"/>
    </w:tblGrid>
    <w:tr w:rsidR="00666029" w:rsidRPr="00D67C08" w14:paraId="1C2A7F9A" w14:textId="77777777" w:rsidTr="00D67C08">
      <w:trPr>
        <w:trHeight w:val="397"/>
      </w:trPr>
      <w:tc>
        <w:tcPr>
          <w:tcW w:w="4891" w:type="dxa"/>
          <w:gridSpan w:val="2"/>
          <w:shd w:val="clear" w:color="auto" w:fill="auto"/>
          <w:vAlign w:val="bottom"/>
        </w:tcPr>
        <w:p w14:paraId="2980AD8B" w14:textId="77777777" w:rsidR="00666029" w:rsidRPr="00D67C08" w:rsidRDefault="00666029" w:rsidP="00D67C08">
          <w:pPr>
            <w:tabs>
              <w:tab w:val="center" w:pos="4975"/>
            </w:tabs>
            <w:spacing w:after="0" w:line="240" w:lineRule="auto"/>
            <w:ind w:left="369"/>
            <w:rPr>
              <w:rFonts w:ascii="Arial" w:eastAsia="Times New Roman" w:hAnsi="Arial" w:cs="Arial"/>
              <w:color w:val="000000"/>
              <w:sz w:val="16"/>
              <w:szCs w:val="16"/>
              <w:lang w:val="es-ES_tradnl" w:eastAsia="es-PE"/>
            </w:rPr>
          </w:pPr>
        </w:p>
      </w:tc>
      <w:tc>
        <w:tcPr>
          <w:tcW w:w="4891" w:type="dxa"/>
          <w:gridSpan w:val="3"/>
          <w:shd w:val="clear" w:color="auto" w:fill="auto"/>
          <w:vAlign w:val="bottom"/>
        </w:tcPr>
        <w:p w14:paraId="488E74FA" w14:textId="77777777" w:rsidR="00666029" w:rsidRPr="00D67C08" w:rsidRDefault="00666029" w:rsidP="00D67C08">
          <w:pPr>
            <w:tabs>
              <w:tab w:val="center" w:pos="4975"/>
            </w:tabs>
            <w:spacing w:after="0" w:line="240" w:lineRule="auto"/>
            <w:ind w:left="369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ES_tradnl" w:eastAsia="es-PE"/>
            </w:rPr>
          </w:pPr>
          <w:r w:rsidRPr="00D67C08"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95CC3BE" wp14:editId="56CE2A03">
                <wp:extent cx="1733550" cy="427990"/>
                <wp:effectExtent l="0" t="0" r="0" b="0"/>
                <wp:docPr id="60" name="Image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b="202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6029" w:rsidRPr="00D67C08" w14:paraId="068A4E9B" w14:textId="77777777" w:rsidTr="00D67C08">
      <w:tc>
        <w:tcPr>
          <w:tcW w:w="9782" w:type="dxa"/>
          <w:gridSpan w:val="5"/>
          <w:shd w:val="clear" w:color="auto" w:fill="auto"/>
        </w:tcPr>
        <w:p w14:paraId="256DF630" w14:textId="77777777" w:rsidR="00666029" w:rsidRPr="00D67C08" w:rsidRDefault="00666029" w:rsidP="00D67C08">
          <w:pPr>
            <w:tabs>
              <w:tab w:val="center" w:pos="4975"/>
            </w:tabs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es-ES_tradnl" w:eastAsia="es-PE"/>
            </w:rPr>
          </w:pPr>
        </w:p>
      </w:tc>
    </w:tr>
    <w:tr w:rsidR="00666029" w:rsidRPr="00D67C08" w14:paraId="7B4EFD56" w14:textId="77777777" w:rsidTr="00D67C08">
      <w:trPr>
        <w:trHeight w:val="20"/>
      </w:trPr>
      <w:tc>
        <w:tcPr>
          <w:tcW w:w="2553" w:type="dxa"/>
          <w:tcBorders>
            <w:right w:val="single" w:sz="6" w:space="0" w:color="FF0000"/>
          </w:tcBorders>
          <w:shd w:val="clear" w:color="auto" w:fill="auto"/>
        </w:tcPr>
        <w:p w14:paraId="02F64882" w14:textId="77777777" w:rsidR="00666029" w:rsidRPr="00D67C08" w:rsidRDefault="00666029" w:rsidP="00D67C08">
          <w:pPr>
            <w:tabs>
              <w:tab w:val="left" w:pos="4454"/>
            </w:tabs>
            <w:spacing w:after="0" w:line="240" w:lineRule="auto"/>
            <w:jc w:val="center"/>
            <w:rPr>
              <w:rFonts w:eastAsia="Times New Roman" w:cs="Arial"/>
              <w:sz w:val="16"/>
              <w:szCs w:val="16"/>
              <w:lang w:val="es-ES_tradnl" w:eastAsia="es-PE"/>
            </w:rPr>
          </w:pPr>
          <w:r w:rsidRPr="00D67C08">
            <w:rPr>
              <w:rFonts w:eastAsia="Times New Roman" w:cs="Calibri"/>
              <w:b/>
              <w:sz w:val="14"/>
              <w:szCs w:val="20"/>
              <w:lang w:eastAsia="es-PE"/>
            </w:rPr>
            <w:t>Organismo Nacional de Sanidad Pesquera</w:t>
          </w:r>
        </w:p>
      </w:tc>
      <w:tc>
        <w:tcPr>
          <w:tcW w:w="4394" w:type="dxa"/>
          <w:gridSpan w:val="2"/>
          <w:tcBorders>
            <w:left w:val="single" w:sz="6" w:space="0" w:color="FF0000"/>
            <w:right w:val="single" w:sz="6" w:space="0" w:color="FF0000"/>
          </w:tcBorders>
          <w:shd w:val="clear" w:color="auto" w:fill="auto"/>
        </w:tcPr>
        <w:p w14:paraId="3D485F8B" w14:textId="77777777" w:rsidR="00666029" w:rsidRPr="00D67C08" w:rsidRDefault="00666029" w:rsidP="008A7A65">
          <w:pPr>
            <w:spacing w:after="0" w:line="240" w:lineRule="auto"/>
            <w:rPr>
              <w:rFonts w:eastAsia="Times New Roman" w:cs="Calibri"/>
              <w:sz w:val="20"/>
              <w:szCs w:val="20"/>
              <w:lang w:eastAsia="es-PE"/>
            </w:rPr>
          </w:pPr>
          <w:r w:rsidRPr="00D67C08">
            <w:rPr>
              <w:rFonts w:eastAsia="Times New Roman" w:cs="Calibri"/>
              <w:sz w:val="14"/>
              <w:szCs w:val="20"/>
              <w:lang w:eastAsia="es-PE"/>
            </w:rPr>
            <w:t>Sede Surquillo: Domingo Orué Nº 165, pisos 6 y 7, Surquillo - Lima – Perú</w:t>
          </w:r>
        </w:p>
      </w:tc>
      <w:tc>
        <w:tcPr>
          <w:tcW w:w="1417" w:type="dxa"/>
          <w:tcBorders>
            <w:left w:val="single" w:sz="6" w:space="0" w:color="FF0000"/>
            <w:right w:val="single" w:sz="6" w:space="0" w:color="FF0000"/>
          </w:tcBorders>
          <w:shd w:val="clear" w:color="auto" w:fill="auto"/>
        </w:tcPr>
        <w:p w14:paraId="1C8639CF" w14:textId="77777777" w:rsidR="00666029" w:rsidRPr="00D67C08" w:rsidRDefault="00666029" w:rsidP="00D67C08">
          <w:pPr>
            <w:spacing w:after="0" w:line="240" w:lineRule="auto"/>
            <w:jc w:val="center"/>
            <w:rPr>
              <w:rFonts w:eastAsia="Times New Roman" w:cs="Calibri"/>
              <w:sz w:val="20"/>
              <w:szCs w:val="20"/>
              <w:lang w:eastAsia="es-PE"/>
            </w:rPr>
          </w:pPr>
          <w:r w:rsidRPr="00D67C08">
            <w:rPr>
              <w:rFonts w:eastAsia="Times New Roman" w:cs="Calibri"/>
              <w:sz w:val="14"/>
              <w:szCs w:val="20"/>
              <w:lang w:eastAsia="es-PE"/>
            </w:rPr>
            <w:t>T. (51-11) 213-8570</w:t>
          </w:r>
        </w:p>
      </w:tc>
      <w:tc>
        <w:tcPr>
          <w:tcW w:w="1418" w:type="dxa"/>
          <w:tcBorders>
            <w:left w:val="single" w:sz="6" w:space="0" w:color="FF0000"/>
          </w:tcBorders>
          <w:shd w:val="clear" w:color="auto" w:fill="auto"/>
        </w:tcPr>
        <w:p w14:paraId="64646A4D" w14:textId="77777777" w:rsidR="00666029" w:rsidRPr="00D67C08" w:rsidRDefault="00666029" w:rsidP="008A7A65">
          <w:pPr>
            <w:tabs>
              <w:tab w:val="left" w:pos="4454"/>
            </w:tabs>
            <w:spacing w:after="0" w:line="240" w:lineRule="auto"/>
            <w:rPr>
              <w:rFonts w:eastAsia="Times New Roman" w:cs="Arial"/>
              <w:sz w:val="16"/>
              <w:szCs w:val="16"/>
              <w:lang w:val="es-ES_tradnl" w:eastAsia="es-PE"/>
            </w:rPr>
          </w:pPr>
          <w:r w:rsidRPr="00D67C08">
            <w:rPr>
              <w:rFonts w:eastAsia="Times New Roman" w:cs="Calibri"/>
              <w:sz w:val="14"/>
              <w:szCs w:val="20"/>
              <w:lang w:eastAsia="es-PE"/>
            </w:rPr>
            <w:t>www.sanipes.gob.pe</w:t>
          </w:r>
        </w:p>
      </w:tc>
    </w:tr>
    <w:tr w:rsidR="00666029" w:rsidRPr="00D67C08" w14:paraId="46F98730" w14:textId="77777777" w:rsidTr="00D67C08">
      <w:trPr>
        <w:trHeight w:val="20"/>
      </w:trPr>
      <w:tc>
        <w:tcPr>
          <w:tcW w:w="2553" w:type="dxa"/>
          <w:shd w:val="clear" w:color="auto" w:fill="auto"/>
        </w:tcPr>
        <w:p w14:paraId="2059C5A1" w14:textId="77777777" w:rsidR="00666029" w:rsidRPr="00D67C08" w:rsidRDefault="00666029" w:rsidP="00D67C08">
          <w:pPr>
            <w:tabs>
              <w:tab w:val="left" w:pos="4454"/>
            </w:tabs>
            <w:spacing w:after="0" w:line="240" w:lineRule="auto"/>
            <w:jc w:val="center"/>
            <w:rPr>
              <w:rFonts w:eastAsia="Times New Roman" w:cs="Calibri"/>
              <w:b/>
              <w:sz w:val="14"/>
              <w:szCs w:val="20"/>
              <w:lang w:eastAsia="es-PE"/>
            </w:rPr>
          </w:pPr>
        </w:p>
      </w:tc>
      <w:tc>
        <w:tcPr>
          <w:tcW w:w="4394" w:type="dxa"/>
          <w:gridSpan w:val="2"/>
          <w:shd w:val="clear" w:color="auto" w:fill="auto"/>
        </w:tcPr>
        <w:p w14:paraId="2EFF6EDB" w14:textId="77777777" w:rsidR="00666029" w:rsidRPr="00D67C08" w:rsidRDefault="00666029" w:rsidP="008A7A65">
          <w:pPr>
            <w:spacing w:after="0" w:line="240" w:lineRule="auto"/>
            <w:rPr>
              <w:rFonts w:eastAsia="Times New Roman" w:cs="Calibri"/>
              <w:sz w:val="14"/>
              <w:szCs w:val="20"/>
              <w:lang w:eastAsia="es-PE"/>
            </w:rPr>
          </w:pPr>
          <w:r w:rsidRPr="00D67C08">
            <w:rPr>
              <w:rFonts w:eastAsia="Times New Roman" w:cs="Calibri"/>
              <w:sz w:val="14"/>
              <w:szCs w:val="20"/>
              <w:lang w:eastAsia="es-PE"/>
            </w:rPr>
            <w:t>Sede Callao: Av. Carretera a Ventanilla Km. 5200 Ventanilla - Callao</w:t>
          </w:r>
        </w:p>
      </w:tc>
      <w:tc>
        <w:tcPr>
          <w:tcW w:w="1417" w:type="dxa"/>
          <w:shd w:val="clear" w:color="auto" w:fill="auto"/>
        </w:tcPr>
        <w:p w14:paraId="184C9856" w14:textId="77777777" w:rsidR="00666029" w:rsidRPr="00D67C08" w:rsidRDefault="00666029" w:rsidP="00D67C08">
          <w:pPr>
            <w:spacing w:after="0" w:line="240" w:lineRule="auto"/>
            <w:jc w:val="center"/>
            <w:rPr>
              <w:rFonts w:eastAsia="Times New Roman" w:cs="Calibri"/>
              <w:sz w:val="14"/>
              <w:szCs w:val="20"/>
              <w:lang w:eastAsia="es-PE"/>
            </w:rPr>
          </w:pPr>
        </w:p>
      </w:tc>
      <w:tc>
        <w:tcPr>
          <w:tcW w:w="1418" w:type="dxa"/>
          <w:shd w:val="clear" w:color="auto" w:fill="auto"/>
        </w:tcPr>
        <w:p w14:paraId="4D7CC760" w14:textId="77777777" w:rsidR="00666029" w:rsidRPr="00D67C08" w:rsidRDefault="00666029" w:rsidP="00D67C08">
          <w:pPr>
            <w:tabs>
              <w:tab w:val="left" w:pos="4454"/>
            </w:tabs>
            <w:spacing w:after="0" w:line="240" w:lineRule="auto"/>
            <w:jc w:val="center"/>
            <w:rPr>
              <w:rFonts w:eastAsia="Times New Roman" w:cs="Calibri"/>
              <w:sz w:val="14"/>
              <w:szCs w:val="20"/>
              <w:lang w:eastAsia="es-PE"/>
            </w:rPr>
          </w:pPr>
        </w:p>
      </w:tc>
    </w:tr>
  </w:tbl>
  <w:p w14:paraId="6DC42A0E" w14:textId="77777777" w:rsidR="00666029" w:rsidRDefault="006660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62C4B" w14:textId="77777777" w:rsidR="00666029" w:rsidRDefault="00666029" w:rsidP="00F15203">
      <w:pPr>
        <w:spacing w:after="0" w:line="240" w:lineRule="auto"/>
      </w:pPr>
      <w:r>
        <w:separator/>
      </w:r>
    </w:p>
  </w:footnote>
  <w:footnote w:type="continuationSeparator" w:id="0">
    <w:p w14:paraId="20F57273" w14:textId="77777777" w:rsidR="00666029" w:rsidRDefault="00666029" w:rsidP="00F1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430" w:type="dxa"/>
      <w:tblInd w:w="-299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CellMar>
        <w:left w:w="85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680"/>
      <w:gridCol w:w="652"/>
      <w:gridCol w:w="2098"/>
    </w:tblGrid>
    <w:tr w:rsidR="00666029" w:rsidRPr="00D67C08" w14:paraId="2BF9DD8A" w14:textId="77777777" w:rsidTr="00D67C08">
      <w:trPr>
        <w:trHeight w:val="578"/>
      </w:trPr>
      <w:tc>
        <w:tcPr>
          <w:tcW w:w="680" w:type="dxa"/>
          <w:shd w:val="clear" w:color="auto" w:fill="auto"/>
          <w:vAlign w:val="bottom"/>
        </w:tcPr>
        <w:p w14:paraId="1D077219" w14:textId="77777777" w:rsidR="00666029" w:rsidRPr="00D67C08" w:rsidRDefault="00666029" w:rsidP="00F15203">
          <w:pPr>
            <w:pStyle w:val="Encabezado"/>
            <w:rPr>
              <w:rFonts w:ascii="Times New Roman" w:eastAsia="Times New Roman" w:hAnsi="Times New Roman"/>
              <w:sz w:val="20"/>
              <w:szCs w:val="20"/>
              <w:lang w:eastAsia="es-PE"/>
            </w:rPr>
          </w:pPr>
          <w:r w:rsidRPr="00D67C08">
            <w:rPr>
              <w:rFonts w:ascii="Times New Roman" w:eastAsia="Times New Roman" w:hAnsi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3A69842" wp14:editId="692BFCDB">
                <wp:extent cx="338455" cy="370205"/>
                <wp:effectExtent l="0" t="0" r="4445" b="0"/>
                <wp:docPr id="5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55" t="4469" r="9666" b="4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45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" w:type="dxa"/>
          <w:shd w:val="clear" w:color="auto" w:fill="EB1E23"/>
          <w:vAlign w:val="center"/>
        </w:tcPr>
        <w:p w14:paraId="41B0F3B6" w14:textId="77777777" w:rsidR="00666029" w:rsidRPr="00D67C08" w:rsidRDefault="00666029" w:rsidP="00D67C08">
          <w:pPr>
            <w:pStyle w:val="Encabezado"/>
            <w:ind w:left="-56"/>
            <w:jc w:val="center"/>
            <w:rPr>
              <w:rFonts w:eastAsia="Times New Roman"/>
              <w:color w:val="FFFFFF"/>
              <w:sz w:val="21"/>
              <w:szCs w:val="21"/>
              <w:lang w:eastAsia="es-PE"/>
            </w:rPr>
          </w:pPr>
          <w:r w:rsidRPr="00D67C08">
            <w:rPr>
              <w:rFonts w:eastAsia="Times New Roman"/>
              <w:color w:val="FFFFFF"/>
              <w:sz w:val="21"/>
              <w:szCs w:val="21"/>
              <w:lang w:eastAsia="es-PE"/>
            </w:rPr>
            <w:t>PERÚ</w:t>
          </w:r>
        </w:p>
      </w:tc>
      <w:tc>
        <w:tcPr>
          <w:tcW w:w="2098" w:type="dxa"/>
          <w:shd w:val="clear" w:color="auto" w:fill="58595B"/>
          <w:vAlign w:val="bottom"/>
        </w:tcPr>
        <w:p w14:paraId="3C8263A9" w14:textId="77777777" w:rsidR="00666029" w:rsidRPr="00D67C08" w:rsidRDefault="00666029" w:rsidP="00D67C08">
          <w:pPr>
            <w:pStyle w:val="Encabezado"/>
            <w:spacing w:line="168" w:lineRule="auto"/>
            <w:rPr>
              <w:rFonts w:eastAsia="Times New Roman" w:cs="Arial"/>
              <w:color w:val="FFFFFF"/>
              <w:sz w:val="18"/>
              <w:szCs w:val="18"/>
              <w:lang w:eastAsia="es-PE"/>
            </w:rPr>
          </w:pPr>
          <w:r w:rsidRPr="00D67C08">
            <w:rPr>
              <w:rFonts w:eastAsia="Times New Roman" w:cs="Arial"/>
              <w:color w:val="FFFFFF"/>
              <w:sz w:val="18"/>
              <w:szCs w:val="18"/>
              <w:lang w:eastAsia="es-PE"/>
            </w:rPr>
            <w:t>Ministerio</w:t>
          </w:r>
        </w:p>
        <w:p w14:paraId="71361C5D" w14:textId="77777777" w:rsidR="00666029" w:rsidRPr="00D67C08" w:rsidRDefault="00666029" w:rsidP="00D67C08">
          <w:pPr>
            <w:pStyle w:val="Encabezado"/>
            <w:spacing w:line="168" w:lineRule="auto"/>
            <w:rPr>
              <w:rFonts w:eastAsia="Times New Roman" w:cs="Arial"/>
              <w:color w:val="FFFFFF"/>
              <w:sz w:val="10"/>
              <w:szCs w:val="18"/>
              <w:lang w:eastAsia="es-PE"/>
            </w:rPr>
          </w:pPr>
          <w:r w:rsidRPr="00D67C08">
            <w:rPr>
              <w:rFonts w:eastAsia="Times New Roman" w:cs="Arial"/>
              <w:color w:val="FFFFFF"/>
              <w:sz w:val="18"/>
              <w:szCs w:val="18"/>
              <w:lang w:eastAsia="es-PE"/>
            </w:rPr>
            <w:t>de la Producción</w:t>
          </w:r>
        </w:p>
        <w:p w14:paraId="43EB110C" w14:textId="77777777" w:rsidR="00666029" w:rsidRPr="00D67C08" w:rsidRDefault="00666029" w:rsidP="00D67C08">
          <w:pPr>
            <w:pStyle w:val="Encabezado"/>
            <w:spacing w:line="168" w:lineRule="auto"/>
            <w:rPr>
              <w:rFonts w:eastAsia="Times New Roman"/>
              <w:color w:val="FFFFFF"/>
              <w:sz w:val="10"/>
              <w:szCs w:val="18"/>
              <w:lang w:eastAsia="es-PE"/>
            </w:rPr>
          </w:pPr>
        </w:p>
      </w:tc>
    </w:tr>
  </w:tbl>
  <w:p w14:paraId="2BB4CB5B" w14:textId="77777777" w:rsidR="00666029" w:rsidRPr="00DE642E" w:rsidRDefault="00666029" w:rsidP="00F15203">
    <w:pPr>
      <w:rPr>
        <w:rFonts w:cs="Arial"/>
        <w:sz w:val="14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57905871" wp14:editId="579DBCB1">
          <wp:simplePos x="0" y="0"/>
          <wp:positionH relativeFrom="column">
            <wp:posOffset>4197985</wp:posOffset>
          </wp:positionH>
          <wp:positionV relativeFrom="paragraph">
            <wp:posOffset>-468630</wp:posOffset>
          </wp:positionV>
          <wp:extent cx="1592580" cy="527050"/>
          <wp:effectExtent l="0" t="0" r="7620" b="6350"/>
          <wp:wrapSquare wrapText="bothSides"/>
          <wp:docPr id="1" name="Imagen 2" descr="C:\Users\locador5\Downloads\logo_sanipes-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locador5\Downloads\logo_sanipes-horizonta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A1BD4" w14:textId="77777777" w:rsidR="00666029" w:rsidRPr="00305869" w:rsidRDefault="00666029" w:rsidP="00F15203">
    <w:pPr>
      <w:pStyle w:val="Encabezado"/>
      <w:jc w:val="center"/>
      <w:rPr>
        <w:rFonts w:cs="Arial"/>
        <w:sz w:val="20"/>
        <w:szCs w:val="16"/>
      </w:rPr>
    </w:pPr>
    <w:r w:rsidRPr="00305869">
      <w:rPr>
        <w:rFonts w:cs="Arial"/>
        <w:sz w:val="20"/>
        <w:szCs w:val="16"/>
      </w:rPr>
      <w:t>“Decenio de la Igualdad de Oportunidades para Mujeres y Hombres”</w:t>
    </w:r>
  </w:p>
  <w:p w14:paraId="1D3A6F95" w14:textId="77777777" w:rsidR="00666029" w:rsidRPr="00305869" w:rsidRDefault="00666029" w:rsidP="005B2FDE">
    <w:pPr>
      <w:pStyle w:val="Encabezado"/>
      <w:tabs>
        <w:tab w:val="left" w:pos="1740"/>
      </w:tabs>
      <w:rPr>
        <w:rFonts w:cs="Arial"/>
        <w:sz w:val="20"/>
        <w:szCs w:val="16"/>
      </w:rPr>
    </w:pPr>
    <w:r>
      <w:rPr>
        <w:rFonts w:cs="Arial"/>
        <w:sz w:val="20"/>
        <w:szCs w:val="16"/>
      </w:rPr>
      <w:tab/>
    </w:r>
    <w:r>
      <w:rPr>
        <w:rFonts w:cs="Arial"/>
        <w:sz w:val="20"/>
        <w:szCs w:val="16"/>
      </w:rPr>
      <w:tab/>
    </w:r>
    <w:r w:rsidRPr="0076123E">
      <w:rPr>
        <w:rFonts w:cs="Arial"/>
        <w:sz w:val="20"/>
        <w:szCs w:val="16"/>
      </w:rPr>
      <w:t>"Año de la Universalización de la Salud"</w:t>
    </w:r>
  </w:p>
  <w:p w14:paraId="65D75941" w14:textId="77777777" w:rsidR="00666029" w:rsidRDefault="0066602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2DE"/>
    <w:multiLevelType w:val="hybridMultilevel"/>
    <w:tmpl w:val="74763C98"/>
    <w:lvl w:ilvl="0" w:tplc="092C5068">
      <w:start w:val="1"/>
      <w:numFmt w:val="decimal"/>
      <w:lvlText w:val="5.%1.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4205"/>
    <w:multiLevelType w:val="multilevel"/>
    <w:tmpl w:val="F77E5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770690"/>
    <w:multiLevelType w:val="hybridMultilevel"/>
    <w:tmpl w:val="E95ADA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0046"/>
    <w:multiLevelType w:val="multilevel"/>
    <w:tmpl w:val="3B546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420C"/>
    <w:multiLevelType w:val="hybridMultilevel"/>
    <w:tmpl w:val="28FC9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915AC"/>
    <w:multiLevelType w:val="hybridMultilevel"/>
    <w:tmpl w:val="4BB6D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870CB"/>
    <w:multiLevelType w:val="hybridMultilevel"/>
    <w:tmpl w:val="D0F84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14B7B"/>
    <w:multiLevelType w:val="hybridMultilevel"/>
    <w:tmpl w:val="FFCE35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C0946"/>
    <w:multiLevelType w:val="hybridMultilevel"/>
    <w:tmpl w:val="E152A46E"/>
    <w:lvl w:ilvl="0" w:tplc="CD2C8A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03"/>
    <w:rsid w:val="000072CE"/>
    <w:rsid w:val="000211EB"/>
    <w:rsid w:val="000214F4"/>
    <w:rsid w:val="00023BF7"/>
    <w:rsid w:val="00032CAE"/>
    <w:rsid w:val="00035740"/>
    <w:rsid w:val="00037843"/>
    <w:rsid w:val="000465E4"/>
    <w:rsid w:val="00055057"/>
    <w:rsid w:val="00057AB5"/>
    <w:rsid w:val="00063898"/>
    <w:rsid w:val="0006526F"/>
    <w:rsid w:val="0006745D"/>
    <w:rsid w:val="00070F6D"/>
    <w:rsid w:val="00075F22"/>
    <w:rsid w:val="00077711"/>
    <w:rsid w:val="000A56A8"/>
    <w:rsid w:val="000B2439"/>
    <w:rsid w:val="000B3606"/>
    <w:rsid w:val="000B58A0"/>
    <w:rsid w:val="000C2EA0"/>
    <w:rsid w:val="000C4F6E"/>
    <w:rsid w:val="000E3CA5"/>
    <w:rsid w:val="000E5F2E"/>
    <w:rsid w:val="000F4DF7"/>
    <w:rsid w:val="000F6872"/>
    <w:rsid w:val="00100A15"/>
    <w:rsid w:val="00136FE8"/>
    <w:rsid w:val="00137BA3"/>
    <w:rsid w:val="00157DD9"/>
    <w:rsid w:val="001749ED"/>
    <w:rsid w:val="0017523A"/>
    <w:rsid w:val="00182FB6"/>
    <w:rsid w:val="00190533"/>
    <w:rsid w:val="001B6DCE"/>
    <w:rsid w:val="001C133A"/>
    <w:rsid w:val="001C331F"/>
    <w:rsid w:val="001C4E0A"/>
    <w:rsid w:val="001D373A"/>
    <w:rsid w:val="001D52EE"/>
    <w:rsid w:val="001E2DDD"/>
    <w:rsid w:val="001E609F"/>
    <w:rsid w:val="001F1C71"/>
    <w:rsid w:val="001F221E"/>
    <w:rsid w:val="00223988"/>
    <w:rsid w:val="00232AA2"/>
    <w:rsid w:val="0023414C"/>
    <w:rsid w:val="00237ED2"/>
    <w:rsid w:val="0024292B"/>
    <w:rsid w:val="0024322A"/>
    <w:rsid w:val="00246DB1"/>
    <w:rsid w:val="00254593"/>
    <w:rsid w:val="002652EC"/>
    <w:rsid w:val="002B11F8"/>
    <w:rsid w:val="002B1B0E"/>
    <w:rsid w:val="002C08FB"/>
    <w:rsid w:val="002D21BB"/>
    <w:rsid w:val="002F53C2"/>
    <w:rsid w:val="003029B6"/>
    <w:rsid w:val="00313B12"/>
    <w:rsid w:val="003157E5"/>
    <w:rsid w:val="00323E48"/>
    <w:rsid w:val="003248EB"/>
    <w:rsid w:val="00327486"/>
    <w:rsid w:val="0033312B"/>
    <w:rsid w:val="00334780"/>
    <w:rsid w:val="00344270"/>
    <w:rsid w:val="0034765E"/>
    <w:rsid w:val="003541A2"/>
    <w:rsid w:val="0035798E"/>
    <w:rsid w:val="00373A1B"/>
    <w:rsid w:val="00394317"/>
    <w:rsid w:val="00395ADB"/>
    <w:rsid w:val="003A3922"/>
    <w:rsid w:val="003A7BAF"/>
    <w:rsid w:val="003A7E00"/>
    <w:rsid w:val="003B073D"/>
    <w:rsid w:val="003B5C2F"/>
    <w:rsid w:val="003C74E2"/>
    <w:rsid w:val="003D184A"/>
    <w:rsid w:val="003D3E58"/>
    <w:rsid w:val="003E5F4F"/>
    <w:rsid w:val="003F24EC"/>
    <w:rsid w:val="00402538"/>
    <w:rsid w:val="00402CBE"/>
    <w:rsid w:val="004179CE"/>
    <w:rsid w:val="00417B2A"/>
    <w:rsid w:val="00425206"/>
    <w:rsid w:val="004461AC"/>
    <w:rsid w:val="00446A22"/>
    <w:rsid w:val="0045237A"/>
    <w:rsid w:val="00461EA8"/>
    <w:rsid w:val="004646B7"/>
    <w:rsid w:val="00466DAE"/>
    <w:rsid w:val="0047503B"/>
    <w:rsid w:val="004848C6"/>
    <w:rsid w:val="00496D1B"/>
    <w:rsid w:val="004B18FB"/>
    <w:rsid w:val="004B7118"/>
    <w:rsid w:val="004C4304"/>
    <w:rsid w:val="004C4ABC"/>
    <w:rsid w:val="004C5F41"/>
    <w:rsid w:val="004D1A5C"/>
    <w:rsid w:val="004E4F58"/>
    <w:rsid w:val="004F386D"/>
    <w:rsid w:val="004F776A"/>
    <w:rsid w:val="0050233F"/>
    <w:rsid w:val="00513BE7"/>
    <w:rsid w:val="00520C58"/>
    <w:rsid w:val="00524C86"/>
    <w:rsid w:val="0052504A"/>
    <w:rsid w:val="00533C80"/>
    <w:rsid w:val="00535119"/>
    <w:rsid w:val="0054712B"/>
    <w:rsid w:val="00557B49"/>
    <w:rsid w:val="00566C1C"/>
    <w:rsid w:val="00582FC2"/>
    <w:rsid w:val="00584072"/>
    <w:rsid w:val="005930D9"/>
    <w:rsid w:val="00593782"/>
    <w:rsid w:val="005A4219"/>
    <w:rsid w:val="005A4C70"/>
    <w:rsid w:val="005A67AF"/>
    <w:rsid w:val="005B0CF9"/>
    <w:rsid w:val="005B138A"/>
    <w:rsid w:val="005B2FDE"/>
    <w:rsid w:val="005B7B52"/>
    <w:rsid w:val="00624110"/>
    <w:rsid w:val="00625F79"/>
    <w:rsid w:val="00631BF7"/>
    <w:rsid w:val="00636F84"/>
    <w:rsid w:val="006377D1"/>
    <w:rsid w:val="00652D51"/>
    <w:rsid w:val="00657A1E"/>
    <w:rsid w:val="00666029"/>
    <w:rsid w:val="006710A6"/>
    <w:rsid w:val="006849BB"/>
    <w:rsid w:val="00690E0D"/>
    <w:rsid w:val="00691604"/>
    <w:rsid w:val="006A30F6"/>
    <w:rsid w:val="006A394B"/>
    <w:rsid w:val="006A3C86"/>
    <w:rsid w:val="006B3845"/>
    <w:rsid w:val="006B74A2"/>
    <w:rsid w:val="006C778D"/>
    <w:rsid w:val="006D0992"/>
    <w:rsid w:val="006D71EA"/>
    <w:rsid w:val="006F2A2A"/>
    <w:rsid w:val="007055FA"/>
    <w:rsid w:val="00705A36"/>
    <w:rsid w:val="00705A86"/>
    <w:rsid w:val="007100FC"/>
    <w:rsid w:val="007103BE"/>
    <w:rsid w:val="00712E62"/>
    <w:rsid w:val="00726046"/>
    <w:rsid w:val="00732729"/>
    <w:rsid w:val="007341B4"/>
    <w:rsid w:val="00740302"/>
    <w:rsid w:val="00750E8F"/>
    <w:rsid w:val="00754506"/>
    <w:rsid w:val="0075476C"/>
    <w:rsid w:val="0075560B"/>
    <w:rsid w:val="007600A7"/>
    <w:rsid w:val="0076212B"/>
    <w:rsid w:val="00771EE0"/>
    <w:rsid w:val="00776FA9"/>
    <w:rsid w:val="00793A38"/>
    <w:rsid w:val="00797B81"/>
    <w:rsid w:val="007A5087"/>
    <w:rsid w:val="007B178A"/>
    <w:rsid w:val="007B2CCE"/>
    <w:rsid w:val="007B67CF"/>
    <w:rsid w:val="007C5C7B"/>
    <w:rsid w:val="007D3ABA"/>
    <w:rsid w:val="007E0831"/>
    <w:rsid w:val="007E26A2"/>
    <w:rsid w:val="007E4BE8"/>
    <w:rsid w:val="007E5E33"/>
    <w:rsid w:val="007F21F6"/>
    <w:rsid w:val="0083208C"/>
    <w:rsid w:val="008366EE"/>
    <w:rsid w:val="008379FF"/>
    <w:rsid w:val="00844D17"/>
    <w:rsid w:val="0085050B"/>
    <w:rsid w:val="00860D3F"/>
    <w:rsid w:val="0086166B"/>
    <w:rsid w:val="008657A7"/>
    <w:rsid w:val="00867B25"/>
    <w:rsid w:val="00871DB4"/>
    <w:rsid w:val="00872847"/>
    <w:rsid w:val="00873166"/>
    <w:rsid w:val="00877E6A"/>
    <w:rsid w:val="008A7A65"/>
    <w:rsid w:val="008D0015"/>
    <w:rsid w:val="008E2B8B"/>
    <w:rsid w:val="008E383C"/>
    <w:rsid w:val="008E75AB"/>
    <w:rsid w:val="00900E89"/>
    <w:rsid w:val="00912834"/>
    <w:rsid w:val="009128AA"/>
    <w:rsid w:val="00914F40"/>
    <w:rsid w:val="00920214"/>
    <w:rsid w:val="00932746"/>
    <w:rsid w:val="00937836"/>
    <w:rsid w:val="009478E1"/>
    <w:rsid w:val="0095481E"/>
    <w:rsid w:val="00956457"/>
    <w:rsid w:val="0095664A"/>
    <w:rsid w:val="00971D51"/>
    <w:rsid w:val="009753F9"/>
    <w:rsid w:val="00980A21"/>
    <w:rsid w:val="009938E9"/>
    <w:rsid w:val="009A1E71"/>
    <w:rsid w:val="009B640E"/>
    <w:rsid w:val="009B6E02"/>
    <w:rsid w:val="009C10F9"/>
    <w:rsid w:val="009C543C"/>
    <w:rsid w:val="009D19E0"/>
    <w:rsid w:val="009D4D1F"/>
    <w:rsid w:val="009F0FA5"/>
    <w:rsid w:val="009F24F5"/>
    <w:rsid w:val="009F7296"/>
    <w:rsid w:val="00A003E2"/>
    <w:rsid w:val="00A23EED"/>
    <w:rsid w:val="00A2437E"/>
    <w:rsid w:val="00A25C46"/>
    <w:rsid w:val="00A2657B"/>
    <w:rsid w:val="00A26867"/>
    <w:rsid w:val="00A32A5F"/>
    <w:rsid w:val="00A450B2"/>
    <w:rsid w:val="00A501F9"/>
    <w:rsid w:val="00A56C36"/>
    <w:rsid w:val="00A631D4"/>
    <w:rsid w:val="00A8331B"/>
    <w:rsid w:val="00A8451C"/>
    <w:rsid w:val="00A8507F"/>
    <w:rsid w:val="00A930C7"/>
    <w:rsid w:val="00AA044B"/>
    <w:rsid w:val="00AB2D2A"/>
    <w:rsid w:val="00AC32A7"/>
    <w:rsid w:val="00AD4FD3"/>
    <w:rsid w:val="00AD6C45"/>
    <w:rsid w:val="00B00B55"/>
    <w:rsid w:val="00B077AB"/>
    <w:rsid w:val="00B1709B"/>
    <w:rsid w:val="00B27280"/>
    <w:rsid w:val="00B572ED"/>
    <w:rsid w:val="00B64BB2"/>
    <w:rsid w:val="00B72F82"/>
    <w:rsid w:val="00B73B79"/>
    <w:rsid w:val="00B75AD8"/>
    <w:rsid w:val="00B81725"/>
    <w:rsid w:val="00B90C74"/>
    <w:rsid w:val="00B918DE"/>
    <w:rsid w:val="00B91A69"/>
    <w:rsid w:val="00BB66A5"/>
    <w:rsid w:val="00BC5026"/>
    <w:rsid w:val="00BD0295"/>
    <w:rsid w:val="00BD0F21"/>
    <w:rsid w:val="00BF79AE"/>
    <w:rsid w:val="00C15584"/>
    <w:rsid w:val="00C20271"/>
    <w:rsid w:val="00C2244D"/>
    <w:rsid w:val="00C23D47"/>
    <w:rsid w:val="00C3779B"/>
    <w:rsid w:val="00C420CA"/>
    <w:rsid w:val="00C47D9C"/>
    <w:rsid w:val="00C5556A"/>
    <w:rsid w:val="00C95C21"/>
    <w:rsid w:val="00C971E7"/>
    <w:rsid w:val="00CA069B"/>
    <w:rsid w:val="00CA4EEA"/>
    <w:rsid w:val="00CA5375"/>
    <w:rsid w:val="00CB21A1"/>
    <w:rsid w:val="00CB2D52"/>
    <w:rsid w:val="00CB55C6"/>
    <w:rsid w:val="00CB7117"/>
    <w:rsid w:val="00CC0CC0"/>
    <w:rsid w:val="00CC3177"/>
    <w:rsid w:val="00CC3722"/>
    <w:rsid w:val="00CC51AD"/>
    <w:rsid w:val="00CC71B3"/>
    <w:rsid w:val="00CD1859"/>
    <w:rsid w:val="00CF0985"/>
    <w:rsid w:val="00CF688B"/>
    <w:rsid w:val="00D03ECF"/>
    <w:rsid w:val="00D070A3"/>
    <w:rsid w:val="00D14E60"/>
    <w:rsid w:val="00D167DF"/>
    <w:rsid w:val="00D4757E"/>
    <w:rsid w:val="00D552BA"/>
    <w:rsid w:val="00D57006"/>
    <w:rsid w:val="00D66BC9"/>
    <w:rsid w:val="00D67C08"/>
    <w:rsid w:val="00D70274"/>
    <w:rsid w:val="00D963FE"/>
    <w:rsid w:val="00DA1D28"/>
    <w:rsid w:val="00DA67B6"/>
    <w:rsid w:val="00DC6C49"/>
    <w:rsid w:val="00DD5422"/>
    <w:rsid w:val="00DD5A3D"/>
    <w:rsid w:val="00DD6164"/>
    <w:rsid w:val="00E02C60"/>
    <w:rsid w:val="00E06504"/>
    <w:rsid w:val="00E15DBD"/>
    <w:rsid w:val="00E17321"/>
    <w:rsid w:val="00E20390"/>
    <w:rsid w:val="00E268A3"/>
    <w:rsid w:val="00E33500"/>
    <w:rsid w:val="00E41586"/>
    <w:rsid w:val="00E4333B"/>
    <w:rsid w:val="00E433C5"/>
    <w:rsid w:val="00E558E6"/>
    <w:rsid w:val="00E57535"/>
    <w:rsid w:val="00E66A62"/>
    <w:rsid w:val="00E72304"/>
    <w:rsid w:val="00E74B34"/>
    <w:rsid w:val="00E75DCD"/>
    <w:rsid w:val="00E845FE"/>
    <w:rsid w:val="00E9478B"/>
    <w:rsid w:val="00EA31B4"/>
    <w:rsid w:val="00EA613A"/>
    <w:rsid w:val="00EA7F94"/>
    <w:rsid w:val="00EB3D6B"/>
    <w:rsid w:val="00EB474C"/>
    <w:rsid w:val="00ED2604"/>
    <w:rsid w:val="00EE0D79"/>
    <w:rsid w:val="00EE2070"/>
    <w:rsid w:val="00EE23CD"/>
    <w:rsid w:val="00EF0B2F"/>
    <w:rsid w:val="00EF6AE3"/>
    <w:rsid w:val="00F0013A"/>
    <w:rsid w:val="00F008F9"/>
    <w:rsid w:val="00F03EE5"/>
    <w:rsid w:val="00F15203"/>
    <w:rsid w:val="00F22C3F"/>
    <w:rsid w:val="00F33E59"/>
    <w:rsid w:val="00F46954"/>
    <w:rsid w:val="00F63DD3"/>
    <w:rsid w:val="00F65270"/>
    <w:rsid w:val="00F67333"/>
    <w:rsid w:val="00F83715"/>
    <w:rsid w:val="00F86300"/>
    <w:rsid w:val="00F94BED"/>
    <w:rsid w:val="00F970DB"/>
    <w:rsid w:val="00FA1DB2"/>
    <w:rsid w:val="00FA726C"/>
    <w:rsid w:val="00FB2D86"/>
    <w:rsid w:val="00FB657C"/>
    <w:rsid w:val="00FB6C47"/>
    <w:rsid w:val="00FC1228"/>
    <w:rsid w:val="00FC232D"/>
    <w:rsid w:val="00FC5546"/>
    <w:rsid w:val="00FD1998"/>
    <w:rsid w:val="00FD42FC"/>
    <w:rsid w:val="00FD6A54"/>
    <w:rsid w:val="00FE0A1C"/>
    <w:rsid w:val="00FE4309"/>
    <w:rsid w:val="00FF27FD"/>
    <w:rsid w:val="00FF371D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0B6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Yu Mincho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15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15203"/>
  </w:style>
  <w:style w:type="paragraph" w:styleId="Piedepgina">
    <w:name w:val="footer"/>
    <w:basedOn w:val="Normal"/>
    <w:link w:val="PiedepginaCar"/>
    <w:uiPriority w:val="99"/>
    <w:unhideWhenUsed/>
    <w:rsid w:val="00F15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203"/>
  </w:style>
  <w:style w:type="table" w:styleId="Tablaconcuadrcula">
    <w:name w:val="Table Grid"/>
    <w:basedOn w:val="Tablanormal"/>
    <w:uiPriority w:val="39"/>
    <w:rsid w:val="00F152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Fundamentacion,Lista vistosa - Énfasis 11,N°,ESTILO2,List Paragraph-Thesis,Ha,Titulo de Fígura,TITULO A,Footnote,List Paragraph1,Cita Pie de Página,titulo,Cuadro 2-1,Numeracion iniciativas,ASPECTOS GENERALES,Párrafo,Punto,Bulleted List"/>
    <w:basedOn w:val="Normal"/>
    <w:link w:val="PrrafodelistaCar"/>
    <w:uiPriority w:val="34"/>
    <w:qFormat/>
    <w:rsid w:val="00F152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05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F41"/>
    <w:rPr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0E5F2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9C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Fundamentacion Car,Lista vistosa - Énfasis 11 Car,N° Car,ESTILO2 Car,List Paragraph-Thesis Car,Ha Car,Titulo de Fígura Car,TITULO A Car,Footnote Car,List Paragraph1 Car,Cita Pie de Página Car,titulo Car,Cuadro 2-1 Car,Párrafo Car"/>
    <w:link w:val="Prrafodelista"/>
    <w:uiPriority w:val="34"/>
    <w:rsid w:val="000F6872"/>
    <w:rPr>
      <w:sz w:val="22"/>
      <w:szCs w:val="22"/>
      <w:lang w:eastAsia="ja-JP"/>
    </w:rPr>
  </w:style>
  <w:style w:type="paragraph" w:styleId="Textodecuerpo">
    <w:name w:val="Body Text"/>
    <w:basedOn w:val="Normal"/>
    <w:link w:val="TextodecuerpoCar"/>
    <w:uiPriority w:val="1"/>
    <w:qFormat/>
    <w:rsid w:val="00334780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  <w:lang w:val="es-ES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334780"/>
    <w:rPr>
      <w:rFonts w:eastAsia="Calibri" w:cs="Calibri"/>
      <w:sz w:val="24"/>
      <w:szCs w:val="24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Yu Mincho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15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15203"/>
  </w:style>
  <w:style w:type="paragraph" w:styleId="Piedepgina">
    <w:name w:val="footer"/>
    <w:basedOn w:val="Normal"/>
    <w:link w:val="PiedepginaCar"/>
    <w:uiPriority w:val="99"/>
    <w:unhideWhenUsed/>
    <w:rsid w:val="00F15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203"/>
  </w:style>
  <w:style w:type="table" w:styleId="Tablaconcuadrcula">
    <w:name w:val="Table Grid"/>
    <w:basedOn w:val="Tablanormal"/>
    <w:uiPriority w:val="39"/>
    <w:rsid w:val="00F152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Fundamentacion,Lista vistosa - Énfasis 11,N°,ESTILO2,List Paragraph-Thesis,Ha,Titulo de Fígura,TITULO A,Footnote,List Paragraph1,Cita Pie de Página,titulo,Cuadro 2-1,Numeracion iniciativas,ASPECTOS GENERALES,Párrafo,Punto,Bulleted List"/>
    <w:basedOn w:val="Normal"/>
    <w:link w:val="PrrafodelistaCar"/>
    <w:uiPriority w:val="34"/>
    <w:qFormat/>
    <w:rsid w:val="00F152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505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F41"/>
    <w:rPr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0E5F2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9C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Fundamentacion Car,Lista vistosa - Énfasis 11 Car,N° Car,ESTILO2 Car,List Paragraph-Thesis Car,Ha Car,Titulo de Fígura Car,TITULO A Car,Footnote Car,List Paragraph1 Car,Cita Pie de Página Car,titulo Car,Cuadro 2-1 Car,Párrafo Car"/>
    <w:link w:val="Prrafodelista"/>
    <w:uiPriority w:val="34"/>
    <w:rsid w:val="000F6872"/>
    <w:rPr>
      <w:sz w:val="22"/>
      <w:szCs w:val="22"/>
      <w:lang w:eastAsia="ja-JP"/>
    </w:rPr>
  </w:style>
  <w:style w:type="paragraph" w:styleId="Textodecuerpo">
    <w:name w:val="Body Text"/>
    <w:basedOn w:val="Normal"/>
    <w:link w:val="TextodecuerpoCar"/>
    <w:uiPriority w:val="1"/>
    <w:qFormat/>
    <w:rsid w:val="00334780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  <w:lang w:val="es-ES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334780"/>
    <w:rPr>
      <w:rFonts w:eastAsia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531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Diana Arauco Mayorga</dc:creator>
  <cp:keywords/>
  <cp:lastModifiedBy>Alfredo Loayza</cp:lastModifiedBy>
  <cp:revision>8</cp:revision>
  <cp:lastPrinted>2020-04-06T13:14:00Z</cp:lastPrinted>
  <dcterms:created xsi:type="dcterms:W3CDTF">2020-12-11T03:46:00Z</dcterms:created>
  <dcterms:modified xsi:type="dcterms:W3CDTF">2020-12-11T19:40:00Z</dcterms:modified>
</cp:coreProperties>
</file>