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8C00" w14:textId="77777777" w:rsidR="002B584B" w:rsidRPr="00802253" w:rsidRDefault="002B584B" w:rsidP="003B5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4"/>
          <w:szCs w:val="24"/>
        </w:rPr>
      </w:pPr>
    </w:p>
    <w:p w14:paraId="742DACFA" w14:textId="0817F4FB" w:rsidR="00935B5E" w:rsidRPr="009E13A8" w:rsidRDefault="00935B5E" w:rsidP="00935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8"/>
          <w:szCs w:val="28"/>
        </w:rPr>
      </w:pPr>
      <w:r w:rsidRPr="009E13A8">
        <w:rPr>
          <w:rFonts w:ascii="Century Gothic" w:eastAsia="Century Gothic" w:hAnsi="Century Gothic" w:cs="Arial"/>
          <w:b/>
          <w:color w:val="000000"/>
          <w:sz w:val="28"/>
          <w:szCs w:val="28"/>
        </w:rPr>
        <w:t>NOTA DE PRENSA</w:t>
      </w:r>
    </w:p>
    <w:p w14:paraId="0731A291" w14:textId="77777777" w:rsidR="005C737C" w:rsidRPr="009E13A8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3E52111F" w14:textId="732E9653" w:rsidR="005C737C" w:rsidRDefault="003773FE" w:rsidP="009E13A8">
      <w:pPr>
        <w:pStyle w:val="Sinespaciado"/>
        <w:jc w:val="center"/>
        <w:rPr>
          <w:rFonts w:ascii="Century Gothic" w:hAnsi="Century Gothic"/>
          <w:b/>
          <w:bCs/>
          <w:sz w:val="26"/>
          <w:szCs w:val="26"/>
        </w:rPr>
      </w:pPr>
      <w:r w:rsidRPr="009E13A8">
        <w:rPr>
          <w:rFonts w:ascii="Century Gothic" w:hAnsi="Century Gothic"/>
          <w:b/>
          <w:bCs/>
          <w:sz w:val="26"/>
          <w:szCs w:val="26"/>
        </w:rPr>
        <w:t xml:space="preserve">CAPACITAN A </w:t>
      </w:r>
      <w:r w:rsidR="00D7520B" w:rsidRPr="009E13A8">
        <w:rPr>
          <w:rFonts w:ascii="Century Gothic" w:hAnsi="Century Gothic"/>
          <w:b/>
          <w:bCs/>
          <w:sz w:val="26"/>
          <w:szCs w:val="26"/>
        </w:rPr>
        <w:t>170</w:t>
      </w:r>
      <w:r w:rsidRPr="009E13A8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184721" w:rsidRPr="009E13A8">
        <w:rPr>
          <w:rFonts w:ascii="Century Gothic" w:hAnsi="Century Gothic"/>
          <w:b/>
          <w:bCs/>
          <w:sz w:val="26"/>
          <w:szCs w:val="26"/>
        </w:rPr>
        <w:t>ESPECIALISTAS</w:t>
      </w:r>
      <w:r w:rsidRPr="009E13A8">
        <w:rPr>
          <w:rFonts w:ascii="Century Gothic" w:hAnsi="Century Gothic"/>
          <w:b/>
          <w:bCs/>
          <w:sz w:val="26"/>
          <w:szCs w:val="26"/>
        </w:rPr>
        <w:t xml:space="preserve"> EN TÉCNICAS DE EVALUACIÓN SENSORIAL DE PESCADOS Y MARISCOS</w:t>
      </w:r>
    </w:p>
    <w:p w14:paraId="5D3224F2" w14:textId="77777777" w:rsidR="009E13A8" w:rsidRDefault="009E13A8" w:rsidP="009E13A8">
      <w:pPr>
        <w:pStyle w:val="Sinespaciado"/>
        <w:jc w:val="center"/>
        <w:rPr>
          <w:rFonts w:ascii="Century Gothic" w:hAnsi="Century Gothic"/>
          <w:b/>
          <w:bCs/>
          <w:sz w:val="26"/>
          <w:szCs w:val="26"/>
        </w:rPr>
      </w:pPr>
    </w:p>
    <w:p w14:paraId="67C043A9" w14:textId="41B8707C" w:rsidR="009E13A8" w:rsidRPr="009E13A8" w:rsidRDefault="009E13A8" w:rsidP="009E13A8">
      <w:pPr>
        <w:pStyle w:val="Sinespaciado"/>
        <w:numPr>
          <w:ilvl w:val="0"/>
          <w:numId w:val="9"/>
        </w:numPr>
        <w:rPr>
          <w:rFonts w:ascii="Century Gothic" w:hAnsi="Century Gothic"/>
          <w:bCs/>
          <w:i/>
        </w:rPr>
      </w:pPr>
      <w:r w:rsidRPr="009E13A8">
        <w:rPr>
          <w:rFonts w:ascii="Century Gothic" w:hAnsi="Century Gothic"/>
          <w:bCs/>
          <w:i/>
        </w:rPr>
        <w:t xml:space="preserve">Trabajo de fortalecimiento estuvo a cargo del CITEpesquero Piura </w:t>
      </w:r>
    </w:p>
    <w:p w14:paraId="43DF5F13" w14:textId="77777777" w:rsidR="003773FE" w:rsidRPr="009E13A8" w:rsidRDefault="003773FE" w:rsidP="007311DA">
      <w:pPr>
        <w:pStyle w:val="Sinespaciado"/>
        <w:jc w:val="both"/>
        <w:rPr>
          <w:rFonts w:ascii="Century Gothic" w:hAnsi="Century Gothic"/>
        </w:rPr>
      </w:pPr>
    </w:p>
    <w:p w14:paraId="20254F90" w14:textId="0255E247" w:rsidR="009E13A8" w:rsidRDefault="009E13A8" w:rsidP="007311DA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Un total de 170 </w:t>
      </w:r>
      <w:r w:rsidRPr="009E13A8">
        <w:rPr>
          <w:rFonts w:ascii="Century Gothic" w:hAnsi="Century Gothic" w:cs="Arial"/>
        </w:rPr>
        <w:t xml:space="preserve">profesionales y </w:t>
      </w:r>
      <w:r>
        <w:rPr>
          <w:rFonts w:ascii="Century Gothic" w:hAnsi="Century Gothic" w:cs="Arial"/>
        </w:rPr>
        <w:t xml:space="preserve">especialistas del sector pesca y acuicultura </w:t>
      </w:r>
      <w:r w:rsidRPr="009E13A8">
        <w:rPr>
          <w:rFonts w:ascii="Century Gothic" w:eastAsia="Century Gothic" w:hAnsi="Century Gothic" w:cs="Arial"/>
          <w:color w:val="000000"/>
        </w:rPr>
        <w:t>de las regiones de Piura, La Libertad, Lambayeque, Tumbes, Ancash, Callao, Lima y Arequipa</w:t>
      </w:r>
      <w:r>
        <w:rPr>
          <w:rFonts w:ascii="Century Gothic" w:eastAsia="Century Gothic" w:hAnsi="Century Gothic" w:cs="Arial"/>
          <w:color w:val="000000"/>
        </w:rPr>
        <w:t xml:space="preserve">, fueron capacitados en técnicas sensoriales </w:t>
      </w:r>
      <w:r w:rsidRPr="009E13A8">
        <w:rPr>
          <w:rFonts w:ascii="Century Gothic" w:hAnsi="Century Gothic" w:cs="Arial"/>
        </w:rPr>
        <w:t>para</w:t>
      </w:r>
      <w:r>
        <w:rPr>
          <w:rFonts w:ascii="Century Gothic" w:hAnsi="Century Gothic" w:cs="Arial"/>
        </w:rPr>
        <w:t xml:space="preserve"> evaluar la frescura de productos hidrobiológicos. </w:t>
      </w:r>
    </w:p>
    <w:p w14:paraId="4B094EEF" w14:textId="77777777" w:rsidR="009E13A8" w:rsidRDefault="009E13A8" w:rsidP="007311DA">
      <w:pPr>
        <w:pStyle w:val="Sinespaciado"/>
        <w:jc w:val="both"/>
        <w:rPr>
          <w:rFonts w:ascii="Century Gothic" w:hAnsi="Century Gothic" w:cs="Arial"/>
        </w:rPr>
      </w:pPr>
    </w:p>
    <w:p w14:paraId="2DC0E4C7" w14:textId="0786849A" w:rsidR="009E13A8" w:rsidRDefault="009E13A8" w:rsidP="007311DA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Este trabajo de fortalecimiento a través del </w:t>
      </w:r>
      <w:r w:rsidR="007C0DFE">
        <w:rPr>
          <w:rFonts w:ascii="Century Gothic" w:hAnsi="Century Gothic" w:cs="Arial"/>
        </w:rPr>
        <w:t xml:space="preserve">taller </w:t>
      </w:r>
      <w:r w:rsidRPr="009E13A8">
        <w:rPr>
          <w:rFonts w:ascii="Century Gothic" w:hAnsi="Century Gothic" w:cs="Arial"/>
        </w:rPr>
        <w:t xml:space="preserve">“Evaluación sensorial en pescados y mariscos”, </w:t>
      </w:r>
      <w:r>
        <w:rPr>
          <w:rFonts w:ascii="Century Gothic" w:hAnsi="Century Gothic" w:cs="Arial"/>
        </w:rPr>
        <w:t>a favor de las mipymes, empresarios y emprendedores de las diversas regiones del país, permitirá que se oferten productos en óptimas condiciones y bajo los estándares de calidad que se requieren.</w:t>
      </w:r>
    </w:p>
    <w:p w14:paraId="08987E19" w14:textId="0B5FE7E5" w:rsidR="00D7520B" w:rsidRPr="009E13A8" w:rsidRDefault="009E13A8" w:rsidP="007311DA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14:paraId="12D35002" w14:textId="48CEECEB" w:rsidR="005C737C" w:rsidRPr="009E13A8" w:rsidRDefault="003773FE" w:rsidP="007311DA">
      <w:pPr>
        <w:pStyle w:val="Sinespaciado"/>
        <w:jc w:val="both"/>
        <w:rPr>
          <w:rFonts w:ascii="Century Gothic" w:hAnsi="Century Gothic" w:cs="Arial"/>
          <w:color w:val="050505"/>
          <w:shd w:val="clear" w:color="auto" w:fill="FFFFFF"/>
        </w:rPr>
      </w:pPr>
      <w:r w:rsidRPr="009E13A8">
        <w:rPr>
          <w:rFonts w:ascii="Century Gothic" w:hAnsi="Century Gothic" w:cs="Arial"/>
        </w:rPr>
        <w:t>“</w:t>
      </w:r>
      <w:r w:rsidR="00162C87" w:rsidRPr="009E13A8">
        <w:rPr>
          <w:rFonts w:ascii="Century Gothic" w:hAnsi="Century Gothic" w:cs="Arial"/>
        </w:rPr>
        <w:t>El método sensorial es el más utilizado en la industria de la pesca para evaluar la frescura del pescado.</w:t>
      </w:r>
      <w:r w:rsidR="00162C87" w:rsidRPr="009E13A8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r w:rsidR="005C737C" w:rsidRPr="009E13A8">
        <w:rPr>
          <w:rFonts w:ascii="Century Gothic" w:hAnsi="Century Gothic" w:cs="Arial"/>
          <w:color w:val="050505"/>
          <w:shd w:val="clear" w:color="auto" w:fill="FFFFFF"/>
        </w:rPr>
        <w:t xml:space="preserve">La apariencia, el olor, el sabor y la textura son elementos importantes que todo especialista </w:t>
      </w:r>
      <w:r w:rsidR="00D7520B" w:rsidRPr="009E13A8">
        <w:rPr>
          <w:rFonts w:ascii="Century Gothic" w:hAnsi="Century Gothic" w:cs="Arial"/>
          <w:color w:val="050505"/>
          <w:shd w:val="clear" w:color="auto" w:fill="FFFFFF"/>
        </w:rPr>
        <w:t xml:space="preserve">que </w:t>
      </w:r>
      <w:r w:rsidR="005C737C" w:rsidRPr="009E13A8">
        <w:rPr>
          <w:rFonts w:ascii="Century Gothic" w:hAnsi="Century Gothic" w:cs="Arial"/>
          <w:color w:val="050505"/>
          <w:shd w:val="clear" w:color="auto" w:fill="FFFFFF"/>
        </w:rPr>
        <w:t>labora en empresas pesqueras y acuícolas o afines deben conoce</w:t>
      </w:r>
      <w:r w:rsidR="00D7520B" w:rsidRPr="009E13A8">
        <w:rPr>
          <w:rFonts w:ascii="Century Gothic" w:hAnsi="Century Gothic" w:cs="Arial"/>
          <w:color w:val="050505"/>
          <w:shd w:val="clear" w:color="auto" w:fill="FFFFFF"/>
        </w:rPr>
        <w:t xml:space="preserve">r”, señaló </w:t>
      </w:r>
      <w:r w:rsidR="007C0DFE">
        <w:rPr>
          <w:rFonts w:ascii="Century Gothic" w:hAnsi="Century Gothic" w:cs="Arial"/>
          <w:color w:val="050505"/>
          <w:shd w:val="clear" w:color="auto" w:fill="FFFFFF"/>
        </w:rPr>
        <w:t xml:space="preserve">William Rivera, </w:t>
      </w:r>
      <w:r w:rsidR="00D7520B" w:rsidRPr="009E13A8">
        <w:rPr>
          <w:rFonts w:ascii="Century Gothic" w:hAnsi="Century Gothic" w:cs="Arial"/>
          <w:color w:val="050505"/>
          <w:shd w:val="clear" w:color="auto" w:fill="FFFFFF"/>
        </w:rPr>
        <w:t>d</w:t>
      </w:r>
      <w:r w:rsidR="007C0DFE">
        <w:rPr>
          <w:rFonts w:ascii="Century Gothic" w:hAnsi="Century Gothic" w:cs="Arial"/>
          <w:color w:val="050505"/>
          <w:shd w:val="clear" w:color="auto" w:fill="FFFFFF"/>
        </w:rPr>
        <w:t>irector del CITEpesquero Piura.</w:t>
      </w:r>
    </w:p>
    <w:p w14:paraId="0E3FF7BF" w14:textId="56967FFC" w:rsidR="005C737C" w:rsidRPr="009E13A8" w:rsidRDefault="005C737C" w:rsidP="007311DA">
      <w:pPr>
        <w:pStyle w:val="Sinespaciado"/>
        <w:jc w:val="both"/>
        <w:rPr>
          <w:rFonts w:ascii="Century Gothic" w:hAnsi="Century Gothic" w:cs="Arial"/>
          <w:color w:val="050505"/>
          <w:shd w:val="clear" w:color="auto" w:fill="FFFFFF"/>
        </w:rPr>
      </w:pPr>
    </w:p>
    <w:p w14:paraId="13550EEE" w14:textId="77777777" w:rsidR="007C0DFE" w:rsidRDefault="00D7520B" w:rsidP="00D7520B">
      <w:pPr>
        <w:pStyle w:val="Sinespaciado"/>
        <w:jc w:val="both"/>
        <w:rPr>
          <w:rFonts w:ascii="Century Gothic" w:hAnsi="Century Gothic" w:cs="Arial"/>
          <w:color w:val="050505"/>
          <w:shd w:val="clear" w:color="auto" w:fill="FFFFFF"/>
        </w:rPr>
      </w:pPr>
      <w:r w:rsidRPr="009E13A8">
        <w:rPr>
          <w:rFonts w:ascii="Century Gothic" w:hAnsi="Century Gothic" w:cs="Arial"/>
          <w:color w:val="050505"/>
          <w:shd w:val="clear" w:color="auto" w:fill="FFFFFF"/>
        </w:rPr>
        <w:t>Rivera Peña</w:t>
      </w:r>
      <w:r w:rsidR="007C0DFE">
        <w:rPr>
          <w:rFonts w:ascii="Century Gothic" w:hAnsi="Century Gothic" w:cs="Arial"/>
          <w:color w:val="050505"/>
          <w:shd w:val="clear" w:color="auto" w:fill="FFFFFF"/>
        </w:rPr>
        <w:t>,</w:t>
      </w:r>
      <w:r w:rsidRPr="009E13A8">
        <w:rPr>
          <w:rFonts w:ascii="Century Gothic" w:hAnsi="Century Gothic" w:cs="Arial"/>
          <w:color w:val="050505"/>
          <w:shd w:val="clear" w:color="auto" w:fill="FFFFFF"/>
        </w:rPr>
        <w:t xml:space="preserve"> resaltó la importancia de esta capacitación</w:t>
      </w:r>
      <w:r w:rsidR="00F96D61" w:rsidRPr="009E13A8">
        <w:rPr>
          <w:rFonts w:ascii="Century Gothic" w:hAnsi="Century Gothic" w:cs="Arial"/>
          <w:color w:val="050505"/>
          <w:shd w:val="clear" w:color="auto" w:fill="FFFFFF"/>
        </w:rPr>
        <w:t xml:space="preserve">, </w:t>
      </w:r>
      <w:r w:rsidRPr="009E13A8">
        <w:rPr>
          <w:rFonts w:ascii="Century Gothic" w:hAnsi="Century Gothic" w:cs="Arial"/>
          <w:color w:val="050505"/>
          <w:shd w:val="clear" w:color="auto" w:fill="FFFFFF"/>
        </w:rPr>
        <w:t>ya que</w:t>
      </w:r>
      <w:r w:rsidR="00F96D61" w:rsidRPr="009E13A8">
        <w:rPr>
          <w:rFonts w:ascii="Century Gothic" w:hAnsi="Century Gothic" w:cs="Arial"/>
          <w:color w:val="050505"/>
          <w:shd w:val="clear" w:color="auto" w:fill="FFFFFF"/>
        </w:rPr>
        <w:t xml:space="preserve"> entre otros factores, el crecimiento bacteriano es el principal factor que limita el tiempo de vida comercial del pescado produciendo la alteración del pescado y la aparición de olores desagradables</w:t>
      </w:r>
      <w:r w:rsidR="007C0DFE">
        <w:rPr>
          <w:rFonts w:ascii="Century Gothic" w:hAnsi="Century Gothic" w:cs="Arial"/>
          <w:color w:val="050505"/>
          <w:shd w:val="clear" w:color="auto" w:fill="FFFFFF"/>
        </w:rPr>
        <w:t>.</w:t>
      </w:r>
    </w:p>
    <w:p w14:paraId="185A8593" w14:textId="77777777" w:rsidR="007C0DFE" w:rsidRDefault="007C0DFE" w:rsidP="00D7520B">
      <w:pPr>
        <w:pStyle w:val="Sinespaciado"/>
        <w:jc w:val="both"/>
        <w:rPr>
          <w:rFonts w:ascii="Century Gothic" w:hAnsi="Century Gothic" w:cs="Arial"/>
          <w:color w:val="050505"/>
          <w:shd w:val="clear" w:color="auto" w:fill="FFFFFF"/>
        </w:rPr>
      </w:pPr>
    </w:p>
    <w:p w14:paraId="69A94CD1" w14:textId="2842EF98" w:rsidR="00D7520B" w:rsidRPr="009E13A8" w:rsidRDefault="007C0DFE" w:rsidP="00D7520B">
      <w:pPr>
        <w:pStyle w:val="Sinespaciad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color w:val="050505"/>
          <w:shd w:val="clear" w:color="auto" w:fill="FFFFFF"/>
        </w:rPr>
        <w:t xml:space="preserve">“Con </w:t>
      </w:r>
      <w:r w:rsidR="00F96D61" w:rsidRPr="009E13A8">
        <w:rPr>
          <w:rFonts w:ascii="Century Gothic" w:hAnsi="Century Gothic" w:cs="Arial"/>
          <w:color w:val="050505"/>
          <w:shd w:val="clear" w:color="auto" w:fill="FFFFFF"/>
        </w:rPr>
        <w:t>la finalidad de apreciar la alteración del pescado</w:t>
      </w:r>
      <w:r w:rsidR="00147A2B" w:rsidRPr="009E13A8">
        <w:rPr>
          <w:rFonts w:ascii="Century Gothic" w:hAnsi="Century Gothic" w:cs="Arial"/>
          <w:color w:val="050505"/>
          <w:shd w:val="clear" w:color="auto" w:fill="FFFFFF"/>
        </w:rPr>
        <w:t xml:space="preserve"> y mariscos</w:t>
      </w:r>
      <w:r w:rsidR="00F96D61" w:rsidRPr="009E13A8">
        <w:rPr>
          <w:rFonts w:ascii="Century Gothic" w:hAnsi="Century Gothic" w:cs="Arial"/>
          <w:color w:val="050505"/>
          <w:shd w:val="clear" w:color="auto" w:fill="FFFFFF"/>
        </w:rPr>
        <w:t xml:space="preserve">, se ha capacitado en </w:t>
      </w:r>
      <w:r w:rsidR="00147A2B" w:rsidRPr="009E13A8">
        <w:rPr>
          <w:rFonts w:ascii="Century Gothic" w:hAnsi="Century Gothic" w:cs="Arial"/>
          <w:color w:val="050505"/>
          <w:shd w:val="clear" w:color="auto" w:fill="FFFFFF"/>
        </w:rPr>
        <w:t xml:space="preserve">análisis sensorial y </w:t>
      </w:r>
      <w:r w:rsidR="00F96D61" w:rsidRPr="009E13A8">
        <w:rPr>
          <w:rFonts w:ascii="Century Gothic" w:hAnsi="Century Gothic" w:cs="Arial"/>
          <w:color w:val="050505"/>
          <w:shd w:val="clear" w:color="auto" w:fill="FFFFFF"/>
        </w:rPr>
        <w:t xml:space="preserve">factores de correlación de frescura, </w:t>
      </w:r>
      <w:r w:rsidR="00147A2B" w:rsidRPr="009E13A8">
        <w:rPr>
          <w:rFonts w:ascii="Century Gothic" w:hAnsi="Century Gothic" w:cs="Arial"/>
          <w:color w:val="050505"/>
          <w:shd w:val="clear" w:color="auto" w:fill="FFFFFF"/>
        </w:rPr>
        <w:t xml:space="preserve">pues </w:t>
      </w:r>
      <w:r w:rsidR="00D7520B" w:rsidRPr="009E13A8">
        <w:rPr>
          <w:rFonts w:ascii="Century Gothic" w:hAnsi="Century Gothic" w:cs="Arial"/>
          <w:color w:val="050505"/>
          <w:shd w:val="clear" w:color="auto" w:fill="FFFFFF"/>
        </w:rPr>
        <w:t>algunas</w:t>
      </w:r>
      <w:r w:rsidR="00D7520B" w:rsidRPr="009E13A8">
        <w:rPr>
          <w:rFonts w:ascii="Century Gothic" w:hAnsi="Century Gothic" w:cs="Arial"/>
        </w:rPr>
        <w:t xml:space="preserve"> personas no son capaces de percibir el sabor rancio de los productos pesqueros y otras tienen una respuesta muy baja al sabor de</w:t>
      </w:r>
      <w:r w:rsidR="00147A2B" w:rsidRPr="009E13A8">
        <w:rPr>
          <w:rFonts w:ascii="Century Gothic" w:hAnsi="Century Gothic" w:cs="Arial"/>
        </w:rPr>
        <w:t xml:space="preserve"> prod</w:t>
      </w:r>
      <w:r>
        <w:rPr>
          <w:rFonts w:ascii="Century Gothic" w:hAnsi="Century Gothic" w:cs="Arial"/>
        </w:rPr>
        <w:t>uctos en proceso de degradación”, manifestó.</w:t>
      </w:r>
    </w:p>
    <w:p w14:paraId="66B8BF56" w14:textId="322CFE85" w:rsidR="00D7520B" w:rsidRPr="009E13A8" w:rsidRDefault="00D7520B" w:rsidP="007311DA">
      <w:pPr>
        <w:pStyle w:val="Sinespaciado"/>
        <w:jc w:val="both"/>
        <w:rPr>
          <w:rFonts w:ascii="Century Gothic" w:hAnsi="Century Gothic" w:cs="Arial"/>
          <w:color w:val="050505"/>
          <w:shd w:val="clear" w:color="auto" w:fill="FFFFFF"/>
        </w:rPr>
      </w:pPr>
    </w:p>
    <w:p w14:paraId="20BAFB67" w14:textId="346D4FF5" w:rsidR="005C737C" w:rsidRPr="009E13A8" w:rsidRDefault="00D7520B" w:rsidP="007311DA">
      <w:pPr>
        <w:pStyle w:val="Sinespaciado"/>
        <w:jc w:val="both"/>
        <w:rPr>
          <w:rFonts w:ascii="Century Gothic" w:hAnsi="Century Gothic" w:cs="Arial"/>
        </w:rPr>
      </w:pPr>
      <w:r w:rsidRPr="009E13A8">
        <w:rPr>
          <w:rFonts w:ascii="Century Gothic" w:hAnsi="Century Gothic" w:cs="Arial"/>
        </w:rPr>
        <w:t>Como se recuerda el CITEpesquero Piura, contribuye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4E1EFFEF" w14:textId="164D444D" w:rsidR="005C737C" w:rsidRDefault="005C737C" w:rsidP="007311DA">
      <w:pPr>
        <w:pStyle w:val="Sinespaciado"/>
        <w:jc w:val="both"/>
        <w:rPr>
          <w:rFonts w:ascii="Century Gothic" w:hAnsi="Century Gothic" w:cs="Arial"/>
        </w:rPr>
      </w:pPr>
    </w:p>
    <w:p w14:paraId="684BC7DA" w14:textId="77777777" w:rsidR="007C0DFE" w:rsidRDefault="007C0DFE" w:rsidP="007311DA">
      <w:pPr>
        <w:pStyle w:val="Sinespaciado"/>
        <w:jc w:val="both"/>
        <w:rPr>
          <w:rFonts w:ascii="Century Gothic" w:hAnsi="Century Gothic"/>
        </w:rPr>
      </w:pPr>
    </w:p>
    <w:p w14:paraId="2D41F499" w14:textId="3E3ED2E2" w:rsidR="005C737C" w:rsidRDefault="007C0DFE" w:rsidP="007C0DFE">
      <w:pPr>
        <w:pStyle w:val="Sinespaciado"/>
        <w:ind w:left="57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Piura, 05 de marzo 2021</w:t>
      </w:r>
    </w:p>
    <w:p w14:paraId="09376694" w14:textId="2D66F35D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1930815" w14:textId="60A9EA8A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719792F6" w14:textId="5EEDD79C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5755968" w14:textId="61F3CD89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6120EA0B" w14:textId="46BF89B4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3D1292D6" w14:textId="0C97EA6C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p w14:paraId="1E0BA436" w14:textId="3FA76324" w:rsidR="005C737C" w:rsidRDefault="005C737C" w:rsidP="007311DA">
      <w:pPr>
        <w:pStyle w:val="Sinespaciado"/>
        <w:jc w:val="both"/>
        <w:rPr>
          <w:rFonts w:ascii="Century Gothic" w:hAnsi="Century Gothic"/>
        </w:rPr>
      </w:pPr>
    </w:p>
    <w:sectPr w:rsidR="005C737C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5FAF" w14:textId="77777777" w:rsidR="0090420C" w:rsidRDefault="0090420C">
      <w:pPr>
        <w:spacing w:after="0" w:line="240" w:lineRule="auto"/>
      </w:pPr>
      <w:r>
        <w:separator/>
      </w:r>
    </w:p>
  </w:endnote>
  <w:endnote w:type="continuationSeparator" w:id="0">
    <w:p w14:paraId="0500E47A" w14:textId="77777777" w:rsidR="0090420C" w:rsidRDefault="0090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5EE2" w14:textId="77777777" w:rsidR="0090420C" w:rsidRDefault="0090420C">
      <w:pPr>
        <w:spacing w:after="0" w:line="240" w:lineRule="auto"/>
      </w:pPr>
      <w:r>
        <w:separator/>
      </w:r>
    </w:p>
  </w:footnote>
  <w:footnote w:type="continuationSeparator" w:id="0">
    <w:p w14:paraId="5A34B162" w14:textId="77777777" w:rsidR="0090420C" w:rsidRDefault="0090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90420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B06B8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7439"/>
    <w:multiLevelType w:val="hybridMultilevel"/>
    <w:tmpl w:val="DFC62D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13E36"/>
    <w:rsid w:val="00036521"/>
    <w:rsid w:val="00062CC3"/>
    <w:rsid w:val="0007299F"/>
    <w:rsid w:val="00077AB3"/>
    <w:rsid w:val="00090682"/>
    <w:rsid w:val="000A25C4"/>
    <w:rsid w:val="000A5F86"/>
    <w:rsid w:val="000C1669"/>
    <w:rsid w:val="000D7B85"/>
    <w:rsid w:val="000F54D2"/>
    <w:rsid w:val="00106298"/>
    <w:rsid w:val="001113F5"/>
    <w:rsid w:val="00125911"/>
    <w:rsid w:val="00132E42"/>
    <w:rsid w:val="00147A2B"/>
    <w:rsid w:val="00162C87"/>
    <w:rsid w:val="0016646A"/>
    <w:rsid w:val="00184721"/>
    <w:rsid w:val="00184A84"/>
    <w:rsid w:val="00192463"/>
    <w:rsid w:val="00193BFF"/>
    <w:rsid w:val="00196FFF"/>
    <w:rsid w:val="001A31CD"/>
    <w:rsid w:val="001A7158"/>
    <w:rsid w:val="001F17C4"/>
    <w:rsid w:val="00227FAF"/>
    <w:rsid w:val="00240FB2"/>
    <w:rsid w:val="00244745"/>
    <w:rsid w:val="00252174"/>
    <w:rsid w:val="0025424B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1552D"/>
    <w:rsid w:val="003237CB"/>
    <w:rsid w:val="003237F2"/>
    <w:rsid w:val="00333435"/>
    <w:rsid w:val="003342D0"/>
    <w:rsid w:val="00343173"/>
    <w:rsid w:val="00357405"/>
    <w:rsid w:val="00365D12"/>
    <w:rsid w:val="003773FE"/>
    <w:rsid w:val="00382DED"/>
    <w:rsid w:val="00391197"/>
    <w:rsid w:val="003B5484"/>
    <w:rsid w:val="003B6F1C"/>
    <w:rsid w:val="003C2313"/>
    <w:rsid w:val="003C33D9"/>
    <w:rsid w:val="003D211E"/>
    <w:rsid w:val="003D6D29"/>
    <w:rsid w:val="003E2581"/>
    <w:rsid w:val="003E4B5B"/>
    <w:rsid w:val="003F0551"/>
    <w:rsid w:val="003F2FDF"/>
    <w:rsid w:val="003F7CCD"/>
    <w:rsid w:val="00431265"/>
    <w:rsid w:val="00431FD7"/>
    <w:rsid w:val="00442FF7"/>
    <w:rsid w:val="004435D5"/>
    <w:rsid w:val="004603CD"/>
    <w:rsid w:val="00474C54"/>
    <w:rsid w:val="00480695"/>
    <w:rsid w:val="00495143"/>
    <w:rsid w:val="00497218"/>
    <w:rsid w:val="004A1F69"/>
    <w:rsid w:val="004A27AC"/>
    <w:rsid w:val="004A53A8"/>
    <w:rsid w:val="004F00E9"/>
    <w:rsid w:val="00502FD5"/>
    <w:rsid w:val="00505FA7"/>
    <w:rsid w:val="00520A13"/>
    <w:rsid w:val="005219F5"/>
    <w:rsid w:val="00531C57"/>
    <w:rsid w:val="005324CD"/>
    <w:rsid w:val="00536BCA"/>
    <w:rsid w:val="005435DE"/>
    <w:rsid w:val="0054370F"/>
    <w:rsid w:val="00564102"/>
    <w:rsid w:val="0056618A"/>
    <w:rsid w:val="00571A92"/>
    <w:rsid w:val="00581AB9"/>
    <w:rsid w:val="00584439"/>
    <w:rsid w:val="00585AAF"/>
    <w:rsid w:val="005962B3"/>
    <w:rsid w:val="005A47A2"/>
    <w:rsid w:val="005B471D"/>
    <w:rsid w:val="005B4AD4"/>
    <w:rsid w:val="005B4AD5"/>
    <w:rsid w:val="005B5769"/>
    <w:rsid w:val="005B590E"/>
    <w:rsid w:val="005C1991"/>
    <w:rsid w:val="005C1FF3"/>
    <w:rsid w:val="005C50C4"/>
    <w:rsid w:val="005C737C"/>
    <w:rsid w:val="005C7DB4"/>
    <w:rsid w:val="005D208B"/>
    <w:rsid w:val="005E6D47"/>
    <w:rsid w:val="005F22BF"/>
    <w:rsid w:val="00601ECD"/>
    <w:rsid w:val="006051FF"/>
    <w:rsid w:val="0060566C"/>
    <w:rsid w:val="00610E95"/>
    <w:rsid w:val="006219DE"/>
    <w:rsid w:val="006232A7"/>
    <w:rsid w:val="00630B5E"/>
    <w:rsid w:val="00631C01"/>
    <w:rsid w:val="00650710"/>
    <w:rsid w:val="0065397D"/>
    <w:rsid w:val="00656EF6"/>
    <w:rsid w:val="0066755D"/>
    <w:rsid w:val="00674640"/>
    <w:rsid w:val="0067680E"/>
    <w:rsid w:val="006774FF"/>
    <w:rsid w:val="006805DF"/>
    <w:rsid w:val="006837A7"/>
    <w:rsid w:val="006962BB"/>
    <w:rsid w:val="006A1EC9"/>
    <w:rsid w:val="006B5827"/>
    <w:rsid w:val="006C36B8"/>
    <w:rsid w:val="006C4B07"/>
    <w:rsid w:val="006D127E"/>
    <w:rsid w:val="006D128B"/>
    <w:rsid w:val="006D2A98"/>
    <w:rsid w:val="006D42D4"/>
    <w:rsid w:val="006F322C"/>
    <w:rsid w:val="007311DA"/>
    <w:rsid w:val="00757BCC"/>
    <w:rsid w:val="00766E90"/>
    <w:rsid w:val="00786AFA"/>
    <w:rsid w:val="00794E87"/>
    <w:rsid w:val="007B3C03"/>
    <w:rsid w:val="007B3FEC"/>
    <w:rsid w:val="007B60EB"/>
    <w:rsid w:val="007C0DFE"/>
    <w:rsid w:val="007C6A1C"/>
    <w:rsid w:val="007E0A07"/>
    <w:rsid w:val="007E3DD1"/>
    <w:rsid w:val="007F361F"/>
    <w:rsid w:val="007F6FD7"/>
    <w:rsid w:val="00802253"/>
    <w:rsid w:val="00823916"/>
    <w:rsid w:val="00830BF0"/>
    <w:rsid w:val="008372C2"/>
    <w:rsid w:val="0084492D"/>
    <w:rsid w:val="0086180F"/>
    <w:rsid w:val="008770EA"/>
    <w:rsid w:val="008800FF"/>
    <w:rsid w:val="00881A7A"/>
    <w:rsid w:val="0088227D"/>
    <w:rsid w:val="00882DAA"/>
    <w:rsid w:val="008916F4"/>
    <w:rsid w:val="008A34A2"/>
    <w:rsid w:val="008B02EF"/>
    <w:rsid w:val="008B122C"/>
    <w:rsid w:val="008C632F"/>
    <w:rsid w:val="008D73EA"/>
    <w:rsid w:val="008F16A5"/>
    <w:rsid w:val="008F4D7D"/>
    <w:rsid w:val="008F7FFA"/>
    <w:rsid w:val="0090420C"/>
    <w:rsid w:val="00934976"/>
    <w:rsid w:val="00935B5E"/>
    <w:rsid w:val="009370C3"/>
    <w:rsid w:val="009407DF"/>
    <w:rsid w:val="00944EBD"/>
    <w:rsid w:val="00951EFB"/>
    <w:rsid w:val="00955940"/>
    <w:rsid w:val="009607A4"/>
    <w:rsid w:val="009628DD"/>
    <w:rsid w:val="00964E88"/>
    <w:rsid w:val="009672B9"/>
    <w:rsid w:val="009818A8"/>
    <w:rsid w:val="009A74AC"/>
    <w:rsid w:val="009B0538"/>
    <w:rsid w:val="009B3713"/>
    <w:rsid w:val="009C32FC"/>
    <w:rsid w:val="009C6A39"/>
    <w:rsid w:val="009D24F7"/>
    <w:rsid w:val="009D74E9"/>
    <w:rsid w:val="009D7761"/>
    <w:rsid w:val="009E0C60"/>
    <w:rsid w:val="009E13A8"/>
    <w:rsid w:val="00A0617C"/>
    <w:rsid w:val="00A10D95"/>
    <w:rsid w:val="00A2507C"/>
    <w:rsid w:val="00A254B0"/>
    <w:rsid w:val="00A3448F"/>
    <w:rsid w:val="00A40C86"/>
    <w:rsid w:val="00A505D2"/>
    <w:rsid w:val="00A50B2A"/>
    <w:rsid w:val="00A568E1"/>
    <w:rsid w:val="00A838C4"/>
    <w:rsid w:val="00A86E9E"/>
    <w:rsid w:val="00A95E69"/>
    <w:rsid w:val="00AA2920"/>
    <w:rsid w:val="00AA4C89"/>
    <w:rsid w:val="00AB5073"/>
    <w:rsid w:val="00AC204D"/>
    <w:rsid w:val="00AF0AA1"/>
    <w:rsid w:val="00B06B82"/>
    <w:rsid w:val="00B06C34"/>
    <w:rsid w:val="00B23302"/>
    <w:rsid w:val="00B26A16"/>
    <w:rsid w:val="00B319A2"/>
    <w:rsid w:val="00B37E66"/>
    <w:rsid w:val="00B63EEB"/>
    <w:rsid w:val="00B724A7"/>
    <w:rsid w:val="00B7340B"/>
    <w:rsid w:val="00B7765E"/>
    <w:rsid w:val="00B9270C"/>
    <w:rsid w:val="00B950C4"/>
    <w:rsid w:val="00B97682"/>
    <w:rsid w:val="00BA240C"/>
    <w:rsid w:val="00BD1881"/>
    <w:rsid w:val="00BE2627"/>
    <w:rsid w:val="00BE5571"/>
    <w:rsid w:val="00BE65CE"/>
    <w:rsid w:val="00BF557A"/>
    <w:rsid w:val="00C06FE1"/>
    <w:rsid w:val="00C14AEE"/>
    <w:rsid w:val="00C26D8A"/>
    <w:rsid w:val="00C3170A"/>
    <w:rsid w:val="00C322F7"/>
    <w:rsid w:val="00C3368C"/>
    <w:rsid w:val="00C41C37"/>
    <w:rsid w:val="00C43954"/>
    <w:rsid w:val="00C439F3"/>
    <w:rsid w:val="00C4435E"/>
    <w:rsid w:val="00C47E83"/>
    <w:rsid w:val="00C54C9C"/>
    <w:rsid w:val="00C673EB"/>
    <w:rsid w:val="00C75038"/>
    <w:rsid w:val="00C94DC0"/>
    <w:rsid w:val="00C96B51"/>
    <w:rsid w:val="00CA7055"/>
    <w:rsid w:val="00CB1E39"/>
    <w:rsid w:val="00CB325B"/>
    <w:rsid w:val="00CB7207"/>
    <w:rsid w:val="00CB7C29"/>
    <w:rsid w:val="00CC0C09"/>
    <w:rsid w:val="00CC62B6"/>
    <w:rsid w:val="00CE1CDA"/>
    <w:rsid w:val="00CF2D63"/>
    <w:rsid w:val="00CF3318"/>
    <w:rsid w:val="00D0605C"/>
    <w:rsid w:val="00D07F02"/>
    <w:rsid w:val="00D1423C"/>
    <w:rsid w:val="00D15FB6"/>
    <w:rsid w:val="00D22C7B"/>
    <w:rsid w:val="00D369CA"/>
    <w:rsid w:val="00D52B0D"/>
    <w:rsid w:val="00D70237"/>
    <w:rsid w:val="00D7270D"/>
    <w:rsid w:val="00D7520B"/>
    <w:rsid w:val="00D90820"/>
    <w:rsid w:val="00D92B6E"/>
    <w:rsid w:val="00DA02E0"/>
    <w:rsid w:val="00DA0743"/>
    <w:rsid w:val="00DA242C"/>
    <w:rsid w:val="00DB5750"/>
    <w:rsid w:val="00DC339D"/>
    <w:rsid w:val="00DC69E2"/>
    <w:rsid w:val="00DD10DC"/>
    <w:rsid w:val="00DD3595"/>
    <w:rsid w:val="00DD422B"/>
    <w:rsid w:val="00DD5D95"/>
    <w:rsid w:val="00DD7859"/>
    <w:rsid w:val="00DF10A6"/>
    <w:rsid w:val="00E060B5"/>
    <w:rsid w:val="00E12397"/>
    <w:rsid w:val="00E16C36"/>
    <w:rsid w:val="00E2670D"/>
    <w:rsid w:val="00E26DFF"/>
    <w:rsid w:val="00E35CCA"/>
    <w:rsid w:val="00E42E46"/>
    <w:rsid w:val="00E46A5A"/>
    <w:rsid w:val="00E61790"/>
    <w:rsid w:val="00E61FBE"/>
    <w:rsid w:val="00E65D92"/>
    <w:rsid w:val="00E74C79"/>
    <w:rsid w:val="00E76AE8"/>
    <w:rsid w:val="00EA1143"/>
    <w:rsid w:val="00EA25C2"/>
    <w:rsid w:val="00EB02A6"/>
    <w:rsid w:val="00EB3E76"/>
    <w:rsid w:val="00EB6FFB"/>
    <w:rsid w:val="00ED2CCB"/>
    <w:rsid w:val="00ED7050"/>
    <w:rsid w:val="00EF5127"/>
    <w:rsid w:val="00EF7282"/>
    <w:rsid w:val="00F1764E"/>
    <w:rsid w:val="00F216EC"/>
    <w:rsid w:val="00F2695B"/>
    <w:rsid w:val="00F2707A"/>
    <w:rsid w:val="00F30923"/>
    <w:rsid w:val="00F35CED"/>
    <w:rsid w:val="00F40C65"/>
    <w:rsid w:val="00F42355"/>
    <w:rsid w:val="00F474D0"/>
    <w:rsid w:val="00F5231A"/>
    <w:rsid w:val="00F64D3A"/>
    <w:rsid w:val="00F736CB"/>
    <w:rsid w:val="00F9281A"/>
    <w:rsid w:val="00F951E6"/>
    <w:rsid w:val="00F96D61"/>
    <w:rsid w:val="00F979D1"/>
    <w:rsid w:val="00FB4EA3"/>
    <w:rsid w:val="00FB61BD"/>
    <w:rsid w:val="00FC14CE"/>
    <w:rsid w:val="00FD74E7"/>
    <w:rsid w:val="00FE6373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44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1C52-AEAB-446E-8BD9-E1C0AE71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2020-08-11T21:57:00Z</cp:lastPrinted>
  <dcterms:created xsi:type="dcterms:W3CDTF">2021-03-10T14:56:00Z</dcterms:created>
  <dcterms:modified xsi:type="dcterms:W3CDTF">2021-03-10T14:56:00Z</dcterms:modified>
</cp:coreProperties>
</file>