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C00" w14:textId="1A24E8E8" w:rsidR="002B584B" w:rsidRPr="00C846BE" w:rsidRDefault="00C846BE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8"/>
          <w:szCs w:val="28"/>
        </w:rPr>
      </w:pPr>
      <w:r w:rsidRPr="00C846BE">
        <w:rPr>
          <w:rFonts w:ascii="Century Gothic" w:eastAsia="Century Gothic" w:hAnsi="Century Gothic" w:cs="Arial"/>
          <w:b/>
          <w:color w:val="000000"/>
          <w:sz w:val="28"/>
          <w:szCs w:val="28"/>
        </w:rPr>
        <w:tab/>
      </w:r>
      <w:r w:rsidRPr="00C846BE">
        <w:rPr>
          <w:rFonts w:ascii="Century Gothic" w:eastAsia="Century Gothic" w:hAnsi="Century Gothic" w:cs="Arial"/>
          <w:b/>
          <w:color w:val="000000"/>
          <w:sz w:val="28"/>
          <w:szCs w:val="28"/>
        </w:rPr>
        <w:tab/>
      </w:r>
      <w:r w:rsidRPr="00C846BE">
        <w:rPr>
          <w:rFonts w:ascii="Century Gothic" w:eastAsia="Century Gothic" w:hAnsi="Century Gothic" w:cs="Arial"/>
          <w:b/>
          <w:color w:val="000000"/>
          <w:sz w:val="28"/>
          <w:szCs w:val="28"/>
        </w:rPr>
        <w:tab/>
      </w:r>
      <w:r w:rsidRPr="00C846BE">
        <w:rPr>
          <w:rFonts w:ascii="Century Gothic" w:eastAsia="Century Gothic" w:hAnsi="Century Gothic" w:cs="Arial"/>
          <w:b/>
          <w:color w:val="000000"/>
          <w:sz w:val="28"/>
          <w:szCs w:val="28"/>
        </w:rPr>
        <w:tab/>
        <w:t>NOTA DE PRENSA</w:t>
      </w:r>
    </w:p>
    <w:p w14:paraId="7C264BA3" w14:textId="77777777" w:rsidR="00C846BE" w:rsidRPr="006721E0" w:rsidRDefault="00C846BE" w:rsidP="00D4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16"/>
          <w:szCs w:val="26"/>
        </w:rPr>
      </w:pPr>
    </w:p>
    <w:p w14:paraId="41ECE30B" w14:textId="5DEBB900" w:rsidR="00B27AAE" w:rsidRDefault="00C846BE" w:rsidP="00D4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CAPACITAN A EMPRENDEDORES NORTEÑOS EN </w:t>
      </w:r>
      <w:r w:rsidR="006721E0">
        <w:rPr>
          <w:rFonts w:ascii="Century Gothic" w:eastAsia="Century Gothic" w:hAnsi="Century Gothic" w:cs="Arial"/>
          <w:b/>
          <w:color w:val="000000"/>
          <w:sz w:val="26"/>
          <w:szCs w:val="26"/>
        </w:rPr>
        <w:t>BUENAS PRÁ</w:t>
      </w: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CTICAS DE </w:t>
      </w:r>
      <w:r w:rsidR="002E411E">
        <w:rPr>
          <w:rFonts w:ascii="Century Gothic" w:eastAsia="Century Gothic" w:hAnsi="Century Gothic" w:cs="Arial"/>
          <w:b/>
          <w:color w:val="000000"/>
          <w:sz w:val="26"/>
          <w:szCs w:val="26"/>
        </w:rPr>
        <w:t>RECURSOS ACUÍCOLAS</w:t>
      </w:r>
    </w:p>
    <w:p w14:paraId="038D8305" w14:textId="77777777" w:rsidR="006721E0" w:rsidRPr="006721E0" w:rsidRDefault="006721E0" w:rsidP="00D4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16"/>
          <w:szCs w:val="26"/>
        </w:rPr>
      </w:pPr>
    </w:p>
    <w:p w14:paraId="66E8062B" w14:textId="57DE94D9" w:rsidR="006721E0" w:rsidRPr="000256F4" w:rsidRDefault="006721E0" w:rsidP="000256F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0256F4">
        <w:rPr>
          <w:rFonts w:ascii="Century Gothic" w:eastAsia="Century Gothic" w:hAnsi="Century Gothic" w:cs="Arial"/>
          <w:i/>
          <w:color w:val="000000"/>
        </w:rPr>
        <w:t>Fortalecimiento de capacidades estuvo a cargo de especialistas del CITEpesquero Piura</w:t>
      </w:r>
    </w:p>
    <w:p w14:paraId="5752DA5C" w14:textId="77777777" w:rsidR="00913FB7" w:rsidRPr="00B27AAE" w:rsidRDefault="00913FB7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4B7EDFC9" w14:textId="61220FB7" w:rsidR="00913FB7" w:rsidRDefault="00B27AAE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El Instituto Tecnológico de la Producción (ITP), mediante el </w:t>
      </w:r>
      <w:r w:rsidR="00913FB7" w:rsidRPr="00913FB7">
        <w:rPr>
          <w:rFonts w:ascii="Century Gothic" w:eastAsia="Century Gothic" w:hAnsi="Century Gothic" w:cs="Arial"/>
          <w:color w:val="000000"/>
        </w:rPr>
        <w:t>CITEpesquero Piura</w:t>
      </w:r>
      <w:r w:rsidR="006721E0">
        <w:rPr>
          <w:rFonts w:ascii="Century Gothic" w:eastAsia="Century Gothic" w:hAnsi="Century Gothic" w:cs="Arial"/>
          <w:color w:val="000000"/>
        </w:rPr>
        <w:t>,</w:t>
      </w:r>
      <w:r w:rsidR="0011793F">
        <w:rPr>
          <w:rFonts w:ascii="Century Gothic" w:eastAsia="Century Gothic" w:hAnsi="Century Gothic" w:cs="Arial"/>
          <w:color w:val="000000"/>
        </w:rPr>
        <w:t xml:space="preserve"> </w:t>
      </w:r>
      <w:r w:rsidR="00F306F5">
        <w:rPr>
          <w:rFonts w:ascii="Century Gothic" w:eastAsia="Century Gothic" w:hAnsi="Century Gothic" w:cs="Arial"/>
          <w:color w:val="000000"/>
        </w:rPr>
        <w:t>capacitó</w:t>
      </w:r>
      <w:r w:rsidR="00FF0717">
        <w:rPr>
          <w:rFonts w:ascii="Century Gothic" w:eastAsia="Century Gothic" w:hAnsi="Century Gothic" w:cs="Arial"/>
          <w:color w:val="000000"/>
        </w:rPr>
        <w:t xml:space="preserve"> gratuitamente</w:t>
      </w:r>
      <w:r w:rsidR="00F306F5">
        <w:rPr>
          <w:rFonts w:ascii="Century Gothic" w:eastAsia="Century Gothic" w:hAnsi="Century Gothic" w:cs="Arial"/>
          <w:color w:val="000000"/>
        </w:rPr>
        <w:t xml:space="preserve"> </w:t>
      </w:r>
      <w:r w:rsidR="006721E0">
        <w:rPr>
          <w:rFonts w:ascii="Century Gothic" w:eastAsia="Century Gothic" w:hAnsi="Century Gothic" w:cs="Arial"/>
          <w:color w:val="000000"/>
        </w:rPr>
        <w:t>a más de 25 especialistas y emprendedores acuícolas de la región La Libertad</w:t>
      </w:r>
      <w:r w:rsidR="002E411E">
        <w:rPr>
          <w:rFonts w:ascii="Century Gothic" w:eastAsia="Century Gothic" w:hAnsi="Century Gothic" w:cs="Arial"/>
          <w:color w:val="000000"/>
        </w:rPr>
        <w:t xml:space="preserve">, </w:t>
      </w:r>
      <w:r w:rsidR="00F306F5">
        <w:rPr>
          <w:rFonts w:ascii="Century Gothic" w:eastAsia="Century Gothic" w:hAnsi="Century Gothic" w:cs="Arial"/>
          <w:color w:val="000000"/>
        </w:rPr>
        <w:t xml:space="preserve">en </w:t>
      </w:r>
      <w:r w:rsidR="00F306F5" w:rsidRPr="00F306F5">
        <w:rPr>
          <w:rFonts w:ascii="Century Gothic" w:eastAsia="Century Gothic" w:hAnsi="Century Gothic" w:cs="Arial"/>
          <w:color w:val="000000"/>
        </w:rPr>
        <w:t xml:space="preserve">programas de aseguramiento de la calidad, </w:t>
      </w:r>
      <w:r w:rsidR="00F306F5">
        <w:rPr>
          <w:rFonts w:ascii="Century Gothic" w:eastAsia="Century Gothic" w:hAnsi="Century Gothic" w:cs="Arial"/>
          <w:color w:val="000000"/>
        </w:rPr>
        <w:t>v</w:t>
      </w:r>
      <w:r w:rsidR="00F306F5" w:rsidRPr="00F306F5">
        <w:rPr>
          <w:rFonts w:ascii="Century Gothic" w:eastAsia="Century Gothic" w:hAnsi="Century Gothic" w:cs="Arial"/>
          <w:color w:val="000000"/>
        </w:rPr>
        <w:t>alor agregado de productos hidrob</w:t>
      </w:r>
      <w:r w:rsidR="006721E0">
        <w:rPr>
          <w:rFonts w:ascii="Century Gothic" w:eastAsia="Century Gothic" w:hAnsi="Century Gothic" w:cs="Arial"/>
          <w:color w:val="000000"/>
        </w:rPr>
        <w:t>iológicos y normativa</w:t>
      </w:r>
      <w:r w:rsidR="002E411E">
        <w:rPr>
          <w:rFonts w:ascii="Century Gothic" w:eastAsia="Century Gothic" w:hAnsi="Century Gothic" w:cs="Arial"/>
          <w:color w:val="000000"/>
        </w:rPr>
        <w:t>s</w:t>
      </w:r>
      <w:r w:rsidR="006721E0">
        <w:rPr>
          <w:rFonts w:ascii="Century Gothic" w:eastAsia="Century Gothic" w:hAnsi="Century Gothic" w:cs="Arial"/>
          <w:color w:val="000000"/>
        </w:rPr>
        <w:t xml:space="preserve"> sanitaria</w:t>
      </w:r>
      <w:r w:rsidR="002E411E">
        <w:rPr>
          <w:rFonts w:ascii="Century Gothic" w:eastAsia="Century Gothic" w:hAnsi="Century Gothic" w:cs="Arial"/>
          <w:color w:val="000000"/>
        </w:rPr>
        <w:t>s</w:t>
      </w:r>
      <w:r w:rsidR="006721E0">
        <w:rPr>
          <w:rFonts w:ascii="Century Gothic" w:eastAsia="Century Gothic" w:hAnsi="Century Gothic" w:cs="Arial"/>
          <w:color w:val="000000"/>
        </w:rPr>
        <w:t>.</w:t>
      </w:r>
    </w:p>
    <w:p w14:paraId="08215946" w14:textId="77777777" w:rsidR="002E411E" w:rsidRPr="002E411E" w:rsidRDefault="002E411E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19A147B8" w14:textId="0070247F" w:rsidR="000729A1" w:rsidRDefault="002E411E" w:rsidP="002E4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William Rivera, director del CITEpesquero Piura, res</w:t>
      </w:r>
      <w:r w:rsidR="00793404">
        <w:rPr>
          <w:rFonts w:ascii="Century Gothic" w:eastAsia="Century Gothic" w:hAnsi="Century Gothic" w:cs="Arial"/>
          <w:color w:val="000000"/>
        </w:rPr>
        <w:t>altó que</w:t>
      </w:r>
      <w:r w:rsidR="000729A1">
        <w:rPr>
          <w:rFonts w:ascii="Century Gothic" w:eastAsia="Century Gothic" w:hAnsi="Century Gothic" w:cs="Arial"/>
          <w:color w:val="000000"/>
        </w:rPr>
        <w:t xml:space="preserve"> mediante </w:t>
      </w:r>
      <w:r w:rsidR="00995674" w:rsidRPr="00995674">
        <w:rPr>
          <w:rFonts w:ascii="Century Gothic" w:eastAsia="Century Gothic" w:hAnsi="Century Gothic" w:cs="Arial"/>
          <w:color w:val="000000"/>
        </w:rPr>
        <w:t xml:space="preserve">los programas de aseguramiento de la calidad (PHS; BPM; HACCP) </w:t>
      </w:r>
      <w:r w:rsidR="000729A1" w:rsidRPr="00995674">
        <w:rPr>
          <w:rFonts w:ascii="Century Gothic" w:eastAsia="Century Gothic" w:hAnsi="Century Gothic" w:cs="Arial"/>
          <w:color w:val="000000"/>
        </w:rPr>
        <w:t xml:space="preserve">es posible garantizar la inocuidad de los alimentos y la </w:t>
      </w:r>
      <w:r>
        <w:rPr>
          <w:rFonts w:ascii="Century Gothic" w:eastAsia="Century Gothic" w:hAnsi="Century Gothic" w:cs="Arial"/>
          <w:color w:val="000000"/>
        </w:rPr>
        <w:t xml:space="preserve">protección </w:t>
      </w:r>
      <w:r w:rsidR="00A559CC">
        <w:rPr>
          <w:rFonts w:ascii="Century Gothic" w:eastAsia="Century Gothic" w:hAnsi="Century Gothic" w:cs="Arial"/>
          <w:color w:val="000000"/>
        </w:rPr>
        <w:t>en</w:t>
      </w:r>
      <w:r>
        <w:rPr>
          <w:rFonts w:ascii="Century Gothic" w:eastAsia="Century Gothic" w:hAnsi="Century Gothic" w:cs="Arial"/>
          <w:color w:val="000000"/>
        </w:rPr>
        <w:t xml:space="preserve"> la salud de las personas, </w:t>
      </w:r>
      <w:r w:rsidR="000729A1" w:rsidRPr="00995674">
        <w:rPr>
          <w:rFonts w:ascii="Century Gothic" w:eastAsia="Century Gothic" w:hAnsi="Century Gothic" w:cs="Arial"/>
          <w:color w:val="000000"/>
        </w:rPr>
        <w:t xml:space="preserve">lo que respalda una articulación comercial segura. </w:t>
      </w:r>
    </w:p>
    <w:p w14:paraId="5B491690" w14:textId="77777777" w:rsidR="000729A1" w:rsidRPr="002E411E" w:rsidRDefault="000729A1" w:rsidP="00072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3C4DB034" w14:textId="7630DF80" w:rsidR="000256F4" w:rsidRDefault="002E411E" w:rsidP="0099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“El </w:t>
      </w:r>
      <w:r w:rsidR="000729A1" w:rsidRPr="00995674">
        <w:rPr>
          <w:rFonts w:ascii="Century Gothic" w:eastAsia="Century Gothic" w:hAnsi="Century Gothic" w:cs="Arial"/>
          <w:color w:val="000000"/>
        </w:rPr>
        <w:t>pescado y</w:t>
      </w:r>
      <w:r w:rsidR="000256F4">
        <w:rPr>
          <w:rFonts w:ascii="Century Gothic" w:eastAsia="Century Gothic" w:hAnsi="Century Gothic" w:cs="Arial"/>
          <w:color w:val="000000"/>
        </w:rPr>
        <w:t xml:space="preserve"> los productos hidrobiológicos</w:t>
      </w:r>
      <w:r w:rsidR="00A559CC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 xml:space="preserve">son </w:t>
      </w:r>
      <w:r w:rsidR="000729A1" w:rsidRPr="00995674">
        <w:rPr>
          <w:rFonts w:ascii="Century Gothic" w:eastAsia="Century Gothic" w:hAnsi="Century Gothic" w:cs="Arial"/>
          <w:color w:val="000000"/>
        </w:rPr>
        <w:t>alimento</w:t>
      </w:r>
      <w:r>
        <w:rPr>
          <w:rFonts w:ascii="Century Gothic" w:eastAsia="Century Gothic" w:hAnsi="Century Gothic" w:cs="Arial"/>
          <w:color w:val="000000"/>
        </w:rPr>
        <w:t xml:space="preserve">s </w:t>
      </w:r>
      <w:r w:rsidR="000256F4">
        <w:rPr>
          <w:rFonts w:ascii="Century Gothic" w:eastAsia="Century Gothic" w:hAnsi="Century Gothic" w:cs="Arial"/>
          <w:color w:val="000000"/>
        </w:rPr>
        <w:t xml:space="preserve">muy </w:t>
      </w:r>
      <w:r w:rsidR="000729A1" w:rsidRPr="00995674">
        <w:rPr>
          <w:rFonts w:ascii="Century Gothic" w:eastAsia="Century Gothic" w:hAnsi="Century Gothic" w:cs="Arial"/>
          <w:color w:val="000000"/>
        </w:rPr>
        <w:t>perecible</w:t>
      </w:r>
      <w:r w:rsidR="000256F4">
        <w:rPr>
          <w:rFonts w:ascii="Century Gothic" w:eastAsia="Century Gothic" w:hAnsi="Century Gothic" w:cs="Arial"/>
          <w:color w:val="000000"/>
        </w:rPr>
        <w:t>s</w:t>
      </w:r>
      <w:r w:rsidR="000729A1" w:rsidRPr="00995674">
        <w:rPr>
          <w:rFonts w:ascii="Century Gothic" w:eastAsia="Century Gothic" w:hAnsi="Century Gothic" w:cs="Arial"/>
          <w:color w:val="000000"/>
        </w:rPr>
        <w:t xml:space="preserve"> y la experiencia diaria demuestra la facilidad con que se deterioran, </w:t>
      </w:r>
      <w:r w:rsidR="000256F4">
        <w:rPr>
          <w:rFonts w:ascii="Century Gothic" w:eastAsia="Century Gothic" w:hAnsi="Century Gothic" w:cs="Arial"/>
          <w:color w:val="000000"/>
        </w:rPr>
        <w:t>el esfuerzo de los acuicultores s</w:t>
      </w:r>
      <w:r w:rsidR="000729A1" w:rsidRPr="00995674">
        <w:rPr>
          <w:rFonts w:ascii="Century Gothic" w:eastAsia="Century Gothic" w:hAnsi="Century Gothic" w:cs="Arial"/>
          <w:color w:val="000000"/>
        </w:rPr>
        <w:t xml:space="preserve">e pierde por el simple hecho de que el pescado no llega en condiciones aptas </w:t>
      </w:r>
      <w:r w:rsidR="000256F4">
        <w:rPr>
          <w:rFonts w:ascii="Century Gothic" w:eastAsia="Century Gothic" w:hAnsi="Century Gothic" w:cs="Arial"/>
          <w:color w:val="000000"/>
        </w:rPr>
        <w:t>al consumidor. C</w:t>
      </w:r>
      <w:r w:rsidR="00A71961">
        <w:rPr>
          <w:rFonts w:ascii="Century Gothic" w:eastAsia="Century Gothic" w:hAnsi="Century Gothic" w:cs="Arial"/>
          <w:color w:val="000000"/>
        </w:rPr>
        <w:t xml:space="preserve">on esta capacitación apuntamos, a dar soporte técnico, </w:t>
      </w:r>
      <w:r>
        <w:rPr>
          <w:rFonts w:ascii="Century Gothic" w:eastAsia="Century Gothic" w:hAnsi="Century Gothic" w:cs="Arial"/>
          <w:color w:val="000000"/>
        </w:rPr>
        <w:t xml:space="preserve">para </w:t>
      </w:r>
      <w:r w:rsidR="000256F4">
        <w:rPr>
          <w:rFonts w:ascii="Century Gothic" w:eastAsia="Century Gothic" w:hAnsi="Century Gothic" w:cs="Arial"/>
          <w:color w:val="000000"/>
        </w:rPr>
        <w:t xml:space="preserve">que los emprendedores realicen </w:t>
      </w:r>
      <w:r>
        <w:rPr>
          <w:rFonts w:ascii="Century Gothic" w:eastAsia="Century Gothic" w:hAnsi="Century Gothic" w:cs="Arial"/>
          <w:color w:val="000000"/>
        </w:rPr>
        <w:t xml:space="preserve">una mejora </w:t>
      </w:r>
      <w:r w:rsidR="00A71961">
        <w:rPr>
          <w:rFonts w:ascii="Century Gothic" w:eastAsia="Century Gothic" w:hAnsi="Century Gothic" w:cs="Arial"/>
          <w:color w:val="000000"/>
        </w:rPr>
        <w:t>productividad y comp</w:t>
      </w:r>
      <w:r w:rsidR="000256F4">
        <w:rPr>
          <w:rFonts w:ascii="Century Gothic" w:eastAsia="Century Gothic" w:hAnsi="Century Gothic" w:cs="Arial"/>
          <w:color w:val="000000"/>
        </w:rPr>
        <w:t xml:space="preserve">etitiva elevando </w:t>
      </w:r>
      <w:r w:rsidR="00A71961">
        <w:rPr>
          <w:rFonts w:ascii="Century Gothic" w:eastAsia="Century Gothic" w:hAnsi="Century Gothic" w:cs="Arial"/>
          <w:color w:val="000000"/>
        </w:rPr>
        <w:t>su estándar de calidad</w:t>
      </w:r>
      <w:r w:rsidR="000256F4">
        <w:rPr>
          <w:rFonts w:ascii="Century Gothic" w:eastAsia="Century Gothic" w:hAnsi="Century Gothic" w:cs="Arial"/>
          <w:color w:val="000000"/>
        </w:rPr>
        <w:t>”, señaló.</w:t>
      </w:r>
    </w:p>
    <w:p w14:paraId="03773810" w14:textId="77777777" w:rsidR="000256F4" w:rsidRDefault="000256F4" w:rsidP="0099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44305497" w14:textId="1999C848" w:rsidR="00995674" w:rsidRDefault="000256F4" w:rsidP="0099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Rivera Peña, </w:t>
      </w:r>
      <w:r w:rsidR="000729A1">
        <w:rPr>
          <w:rFonts w:ascii="Century Gothic" w:eastAsia="Century Gothic" w:hAnsi="Century Gothic" w:cs="Arial"/>
          <w:color w:val="000000"/>
        </w:rPr>
        <w:t xml:space="preserve">refirió que </w:t>
      </w:r>
      <w:r w:rsidR="00995674" w:rsidRPr="00995674">
        <w:rPr>
          <w:rFonts w:ascii="Century Gothic" w:eastAsia="Century Gothic" w:hAnsi="Century Gothic" w:cs="Arial"/>
          <w:color w:val="000000"/>
        </w:rPr>
        <w:t>la adecuada implementación de sistemas de aseguramiento de la calidad en el campo sanitario</w:t>
      </w:r>
      <w:r>
        <w:rPr>
          <w:rFonts w:ascii="Century Gothic" w:eastAsia="Century Gothic" w:hAnsi="Century Gothic" w:cs="Arial"/>
          <w:color w:val="000000"/>
        </w:rPr>
        <w:t>,</w:t>
      </w:r>
      <w:r w:rsidR="00995674" w:rsidRPr="00995674">
        <w:rPr>
          <w:rFonts w:ascii="Century Gothic" w:eastAsia="Century Gothic" w:hAnsi="Century Gothic" w:cs="Arial"/>
          <w:color w:val="000000"/>
        </w:rPr>
        <w:t xml:space="preserve"> requiere de normas que faciliten la aplicación de condiciones previas relacionadas con la higiene y sanidad en el diseño, construcción, equipamiento y operación de establecimientos de procesamiento pesquero, así como la aplicación de buenas prácticas de manipuleo y manufactura, concordante con los criterios científicos internacionalmente reconocidos.</w:t>
      </w:r>
    </w:p>
    <w:p w14:paraId="0878911B" w14:textId="77777777" w:rsidR="00995674" w:rsidRPr="00995674" w:rsidRDefault="00995674" w:rsidP="0099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4A8E2B3" w14:textId="0F3C758B" w:rsidR="00995674" w:rsidRDefault="00995674" w:rsidP="00995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995674">
        <w:rPr>
          <w:rFonts w:ascii="Century Gothic" w:eastAsia="Century Gothic" w:hAnsi="Century Gothic" w:cs="Arial"/>
          <w:color w:val="000000"/>
        </w:rPr>
        <w:t>A</w:t>
      </w:r>
      <w:r w:rsidR="000729A1">
        <w:rPr>
          <w:rFonts w:ascii="Century Gothic" w:eastAsia="Century Gothic" w:hAnsi="Century Gothic" w:cs="Arial"/>
          <w:color w:val="000000"/>
        </w:rPr>
        <w:t>demás, señaló que ante la brecha identificada y la</w:t>
      </w:r>
      <w:r w:rsidRPr="00995674">
        <w:rPr>
          <w:rFonts w:ascii="Century Gothic" w:eastAsia="Century Gothic" w:hAnsi="Century Gothic" w:cs="Arial"/>
          <w:color w:val="000000"/>
        </w:rPr>
        <w:t xml:space="preserve"> necesidad de plantear ideas para desarrollar una invención, nuevos productos, servicios y otros</w:t>
      </w:r>
      <w:r w:rsidR="000729A1">
        <w:rPr>
          <w:rFonts w:ascii="Century Gothic" w:eastAsia="Century Gothic" w:hAnsi="Century Gothic" w:cs="Arial"/>
          <w:color w:val="000000"/>
        </w:rPr>
        <w:t xml:space="preserve"> es necesario adecuar la infraestructura en l</w:t>
      </w:r>
      <w:r w:rsidRPr="00995674">
        <w:rPr>
          <w:rFonts w:ascii="Century Gothic" w:eastAsia="Century Gothic" w:hAnsi="Century Gothic" w:cs="Arial"/>
          <w:color w:val="000000"/>
        </w:rPr>
        <w:t>o establecido en la normativa sanitaria vigente.</w:t>
      </w:r>
    </w:p>
    <w:p w14:paraId="40D416DE" w14:textId="237E29FA" w:rsidR="009723CD" w:rsidRDefault="009723CD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A1D21CE" w14:textId="0AA6A857" w:rsidR="009723CD" w:rsidRDefault="009723CD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9775809" w14:textId="77777777" w:rsidR="00913FB7" w:rsidRPr="00913FB7" w:rsidRDefault="00913FB7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4279076D" w14:textId="61579096" w:rsidR="00913FB7" w:rsidRPr="000256F4" w:rsidRDefault="000256F4" w:rsidP="00025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>
        <w:rPr>
          <w:rFonts w:ascii="Century Gothic" w:eastAsia="Century Gothic" w:hAnsi="Century Gothic" w:cs="Arial"/>
          <w:b/>
          <w:color w:val="000000"/>
        </w:rPr>
        <w:t xml:space="preserve">       </w:t>
      </w:r>
      <w:r w:rsidRPr="000256F4">
        <w:rPr>
          <w:rFonts w:ascii="Century Gothic" w:eastAsia="Century Gothic" w:hAnsi="Century Gothic" w:cs="Arial"/>
          <w:b/>
          <w:color w:val="000000"/>
        </w:rPr>
        <w:t>Piura, 02 de junio 2021</w:t>
      </w: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3DF2" w14:textId="77777777" w:rsidR="00DC5030" w:rsidRDefault="00DC5030">
      <w:pPr>
        <w:spacing w:after="0" w:line="240" w:lineRule="auto"/>
      </w:pPr>
      <w:r>
        <w:separator/>
      </w:r>
    </w:p>
  </w:endnote>
  <w:endnote w:type="continuationSeparator" w:id="0">
    <w:p w14:paraId="15E2FC32" w14:textId="77777777" w:rsidR="00DC5030" w:rsidRDefault="00DC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B621" w14:textId="77777777" w:rsidR="00DC5030" w:rsidRDefault="00DC5030">
      <w:pPr>
        <w:spacing w:after="0" w:line="240" w:lineRule="auto"/>
      </w:pPr>
      <w:r>
        <w:separator/>
      </w:r>
    </w:p>
  </w:footnote>
  <w:footnote w:type="continuationSeparator" w:id="0">
    <w:p w14:paraId="42024A0F" w14:textId="77777777" w:rsidR="00DC5030" w:rsidRDefault="00DC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DC50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9162F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513973"/>
    <w:multiLevelType w:val="hybridMultilevel"/>
    <w:tmpl w:val="6B5296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256F4"/>
    <w:rsid w:val="00062CC3"/>
    <w:rsid w:val="000729A1"/>
    <w:rsid w:val="00077AB3"/>
    <w:rsid w:val="00090682"/>
    <w:rsid w:val="000A25C4"/>
    <w:rsid w:val="000F54D2"/>
    <w:rsid w:val="00106298"/>
    <w:rsid w:val="00107634"/>
    <w:rsid w:val="001113F5"/>
    <w:rsid w:val="0011793F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2E411E"/>
    <w:rsid w:val="00310A32"/>
    <w:rsid w:val="003237CB"/>
    <w:rsid w:val="003237F2"/>
    <w:rsid w:val="00333435"/>
    <w:rsid w:val="003417FF"/>
    <w:rsid w:val="00357405"/>
    <w:rsid w:val="003577C1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21E0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180A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028FA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A0617C"/>
    <w:rsid w:val="00A10D95"/>
    <w:rsid w:val="00A2507C"/>
    <w:rsid w:val="00A3448F"/>
    <w:rsid w:val="00A40C86"/>
    <w:rsid w:val="00A50B2A"/>
    <w:rsid w:val="00A559CC"/>
    <w:rsid w:val="00A568E1"/>
    <w:rsid w:val="00A71961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E77FB"/>
    <w:rsid w:val="00AF0AA1"/>
    <w:rsid w:val="00B06C34"/>
    <w:rsid w:val="00B23302"/>
    <w:rsid w:val="00B26A16"/>
    <w:rsid w:val="00B27AAE"/>
    <w:rsid w:val="00B319A2"/>
    <w:rsid w:val="00B37E66"/>
    <w:rsid w:val="00B724A7"/>
    <w:rsid w:val="00B7340B"/>
    <w:rsid w:val="00B873AF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846BE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E1CDA"/>
    <w:rsid w:val="00CF2D63"/>
    <w:rsid w:val="00CF3318"/>
    <w:rsid w:val="00D07F02"/>
    <w:rsid w:val="00D1423C"/>
    <w:rsid w:val="00D15FB6"/>
    <w:rsid w:val="00D22C7B"/>
    <w:rsid w:val="00D369CA"/>
    <w:rsid w:val="00D43C3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5030"/>
    <w:rsid w:val="00DC69E2"/>
    <w:rsid w:val="00DD10DC"/>
    <w:rsid w:val="00DD3595"/>
    <w:rsid w:val="00DD422B"/>
    <w:rsid w:val="00DD54DF"/>
    <w:rsid w:val="00DD5D95"/>
    <w:rsid w:val="00DD7859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4CDF-F744-4436-97D3-59D55D26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2021-05-28T16:30:00Z</cp:lastPrinted>
  <dcterms:created xsi:type="dcterms:W3CDTF">2021-06-02T17:49:00Z</dcterms:created>
  <dcterms:modified xsi:type="dcterms:W3CDTF">2021-06-02T17:49:00Z</dcterms:modified>
</cp:coreProperties>
</file>