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76C45" w14:textId="72120B36" w:rsidR="003569C1" w:rsidRDefault="002E11C3" w:rsidP="00F82BD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2446D">
        <w:rPr>
          <w:rFonts w:ascii="Century Gothic" w:hAnsi="Century Gothic"/>
          <w:b/>
          <w:sz w:val="24"/>
          <w:szCs w:val="24"/>
        </w:rPr>
        <w:t>NOTA DE PRENSA</w:t>
      </w:r>
    </w:p>
    <w:p w14:paraId="5D38C060" w14:textId="65390CBF" w:rsidR="00FC5BD0" w:rsidRPr="00C74280" w:rsidRDefault="00FC5BD0" w:rsidP="00C7428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Century Gothic" w:eastAsia="Arial" w:hAnsi="Century Gothic" w:cs="Arial"/>
          <w:b/>
          <w:color w:val="000000"/>
          <w:sz w:val="16"/>
          <w:szCs w:val="24"/>
        </w:rPr>
      </w:pPr>
    </w:p>
    <w:p w14:paraId="58AAEE7A" w14:textId="3944FA6C" w:rsidR="00FC5BD0" w:rsidRPr="00C74280" w:rsidRDefault="00C74280" w:rsidP="00C74280">
      <w:pPr>
        <w:pStyle w:val="Sinespaciado"/>
        <w:jc w:val="center"/>
        <w:rPr>
          <w:rFonts w:ascii="Century Gothic" w:hAnsi="Century Gothic"/>
          <w:b/>
          <w:sz w:val="25"/>
          <w:szCs w:val="25"/>
        </w:rPr>
      </w:pPr>
      <w:r w:rsidRPr="00C74280">
        <w:rPr>
          <w:rFonts w:ascii="Century Gothic" w:hAnsi="Century Gothic"/>
          <w:b/>
          <w:sz w:val="25"/>
          <w:szCs w:val="25"/>
        </w:rPr>
        <w:t>ITP RED CITE LANZA PLAN DE NEGOCIOS DE CONCHA DE ABANICO Y PRIMER APLICATIVO MÓVIL PARA EL DESARROLLO DE LA ACUICULTURA</w:t>
      </w:r>
    </w:p>
    <w:p w14:paraId="7109A348" w14:textId="77777777" w:rsidR="0089626D" w:rsidRPr="0089626D" w:rsidRDefault="0089626D" w:rsidP="001F287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Century Gothic" w:eastAsia="Arial" w:hAnsi="Century Gothic" w:cs="Arial"/>
          <w:b/>
          <w:color w:val="000000"/>
          <w:sz w:val="16"/>
          <w:szCs w:val="24"/>
        </w:rPr>
      </w:pPr>
    </w:p>
    <w:p w14:paraId="148D8E6A" w14:textId="3D054F3D" w:rsidR="00B154BD" w:rsidRPr="00C74280" w:rsidRDefault="002C3856" w:rsidP="00A94A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i/>
          <w:color w:val="000000"/>
          <w:sz w:val="21"/>
          <w:szCs w:val="21"/>
        </w:rPr>
      </w:pPr>
      <w:r w:rsidRPr="00C74280">
        <w:rPr>
          <w:rFonts w:ascii="Century Gothic" w:eastAsia="Arial" w:hAnsi="Century Gothic" w:cs="Arial"/>
          <w:i/>
          <w:color w:val="000000"/>
          <w:sz w:val="21"/>
          <w:szCs w:val="21"/>
        </w:rPr>
        <w:t>Ambos instrumentos de gestión, basados en innovación y tecnología, potenciarán producción y emprendimiento acuícola a nivel nacional</w:t>
      </w:r>
    </w:p>
    <w:p w14:paraId="533AE6DC" w14:textId="77777777" w:rsidR="00FC5BD0" w:rsidRPr="00C74280" w:rsidRDefault="00FC5BD0" w:rsidP="0089626D">
      <w:pPr>
        <w:spacing w:after="0" w:line="240" w:lineRule="auto"/>
        <w:jc w:val="both"/>
        <w:rPr>
          <w:rFonts w:ascii="Century Gothic" w:hAnsi="Century Gothic" w:cs="Arial"/>
          <w:b/>
          <w:sz w:val="16"/>
        </w:rPr>
      </w:pPr>
    </w:p>
    <w:p w14:paraId="49A17CDA" w14:textId="06AF5A72" w:rsidR="00D04E18" w:rsidRPr="00C74280" w:rsidRDefault="001F2874" w:rsidP="0089626D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bookmarkStart w:id="0" w:name="_GoBack"/>
      <w:bookmarkEnd w:id="0"/>
      <w:r w:rsidRPr="00C74280">
        <w:rPr>
          <w:rFonts w:ascii="Century Gothic" w:hAnsi="Century Gothic" w:cs="Arial"/>
          <w:b/>
          <w:sz w:val="21"/>
          <w:szCs w:val="21"/>
        </w:rPr>
        <w:t xml:space="preserve">¡Buena noticia! </w:t>
      </w:r>
      <w:r w:rsidR="00DB736E" w:rsidRPr="00C74280">
        <w:rPr>
          <w:rFonts w:ascii="Century Gothic" w:hAnsi="Century Gothic" w:cs="Arial"/>
          <w:sz w:val="21"/>
          <w:szCs w:val="21"/>
        </w:rPr>
        <w:t>A fin de fortalecer el desarrollo y emprendimiento acuícola de concha de abanico en el país, el I</w:t>
      </w:r>
      <w:r w:rsidRPr="00C74280">
        <w:rPr>
          <w:rFonts w:ascii="Century Gothic" w:hAnsi="Century Gothic" w:cs="Arial"/>
          <w:sz w:val="21"/>
          <w:szCs w:val="21"/>
        </w:rPr>
        <w:t>nstituto Tecnológico de la Pr</w:t>
      </w:r>
      <w:r w:rsidR="00D04E18" w:rsidRPr="00C74280">
        <w:rPr>
          <w:rFonts w:ascii="Century Gothic" w:hAnsi="Century Gothic" w:cs="Arial"/>
          <w:sz w:val="21"/>
          <w:szCs w:val="21"/>
        </w:rPr>
        <w:t>oducción (ITP)</w:t>
      </w:r>
      <w:r w:rsidR="00DB736E" w:rsidRPr="00C74280">
        <w:rPr>
          <w:rFonts w:ascii="Century Gothic" w:hAnsi="Century Gothic" w:cs="Arial"/>
          <w:sz w:val="21"/>
          <w:szCs w:val="21"/>
        </w:rPr>
        <w:t xml:space="preserve"> </w:t>
      </w:r>
      <w:r w:rsidRPr="00C74280">
        <w:rPr>
          <w:rFonts w:ascii="Century Gothic" w:hAnsi="Century Gothic" w:cs="Arial"/>
          <w:sz w:val="21"/>
          <w:szCs w:val="21"/>
        </w:rPr>
        <w:t>ha</w:t>
      </w:r>
      <w:r w:rsidR="001079BE" w:rsidRPr="00C74280">
        <w:rPr>
          <w:rFonts w:ascii="Century Gothic" w:hAnsi="Century Gothic" w:cs="Arial"/>
          <w:sz w:val="21"/>
          <w:szCs w:val="21"/>
        </w:rPr>
        <w:t xml:space="preserve"> creado</w:t>
      </w:r>
      <w:r w:rsidRPr="00C74280">
        <w:rPr>
          <w:rFonts w:ascii="Century Gothic" w:hAnsi="Century Gothic" w:cs="Arial"/>
          <w:sz w:val="21"/>
          <w:szCs w:val="21"/>
        </w:rPr>
        <w:t xml:space="preserve"> un moderno aplicativo móvil denominado “Ada Perú”</w:t>
      </w:r>
      <w:r w:rsidR="002C3856" w:rsidRPr="00C74280">
        <w:rPr>
          <w:rFonts w:ascii="Century Gothic" w:hAnsi="Century Gothic" w:cs="Arial"/>
          <w:sz w:val="21"/>
          <w:szCs w:val="21"/>
        </w:rPr>
        <w:t>,</w:t>
      </w:r>
      <w:r w:rsidRPr="00C74280">
        <w:rPr>
          <w:rFonts w:ascii="Century Gothic" w:hAnsi="Century Gothic" w:cs="Arial"/>
          <w:sz w:val="21"/>
          <w:szCs w:val="21"/>
        </w:rPr>
        <w:t xml:space="preserve"> </w:t>
      </w:r>
      <w:r w:rsidR="00D04E18" w:rsidRPr="00C74280">
        <w:rPr>
          <w:rFonts w:ascii="Century Gothic" w:hAnsi="Century Gothic" w:cs="Arial"/>
          <w:sz w:val="21"/>
          <w:szCs w:val="21"/>
        </w:rPr>
        <w:t>mediante el cual</w:t>
      </w:r>
      <w:r w:rsidRPr="00C74280">
        <w:rPr>
          <w:rFonts w:ascii="Century Gothic" w:hAnsi="Century Gothic" w:cs="Arial"/>
          <w:sz w:val="21"/>
          <w:szCs w:val="21"/>
        </w:rPr>
        <w:t xml:space="preserve"> </w:t>
      </w:r>
      <w:r w:rsidR="00D04E18" w:rsidRPr="00C74280">
        <w:rPr>
          <w:rFonts w:ascii="Century Gothic" w:hAnsi="Century Gothic" w:cs="Arial"/>
          <w:sz w:val="21"/>
          <w:szCs w:val="21"/>
        </w:rPr>
        <w:t>se podrá acceder a información de los recursos hidrobiológicos y cadena productiva, así como</w:t>
      </w:r>
      <w:r w:rsidR="009E74EC" w:rsidRPr="00C74280">
        <w:rPr>
          <w:rFonts w:ascii="Century Gothic" w:hAnsi="Century Gothic" w:cs="Arial"/>
          <w:sz w:val="21"/>
          <w:szCs w:val="21"/>
        </w:rPr>
        <w:t xml:space="preserve"> a</w:t>
      </w:r>
      <w:r w:rsidR="00D04E18" w:rsidRPr="00C74280">
        <w:rPr>
          <w:rFonts w:ascii="Century Gothic" w:hAnsi="Century Gothic" w:cs="Arial"/>
          <w:sz w:val="21"/>
          <w:szCs w:val="21"/>
        </w:rPr>
        <w:t xml:space="preserve"> importante </w:t>
      </w:r>
      <w:r w:rsidR="002E2507" w:rsidRPr="00C74280">
        <w:rPr>
          <w:rFonts w:ascii="Century Gothic" w:hAnsi="Century Gothic" w:cs="Arial"/>
          <w:sz w:val="21"/>
          <w:szCs w:val="21"/>
        </w:rPr>
        <w:t>material de consulta para</w:t>
      </w:r>
      <w:r w:rsidR="00D04E18" w:rsidRPr="00C74280">
        <w:rPr>
          <w:rFonts w:ascii="Century Gothic" w:hAnsi="Century Gothic" w:cs="Arial"/>
          <w:sz w:val="21"/>
          <w:szCs w:val="21"/>
        </w:rPr>
        <w:t xml:space="preserve"> mipymes</w:t>
      </w:r>
      <w:r w:rsidR="002E2507" w:rsidRPr="00C74280">
        <w:rPr>
          <w:rFonts w:ascii="Century Gothic" w:hAnsi="Century Gothic" w:cs="Arial"/>
          <w:sz w:val="21"/>
          <w:szCs w:val="21"/>
        </w:rPr>
        <w:t xml:space="preserve"> e investigadores</w:t>
      </w:r>
      <w:r w:rsidR="009E74EC" w:rsidRPr="00C74280">
        <w:rPr>
          <w:rFonts w:ascii="Century Gothic" w:hAnsi="Century Gothic" w:cs="Arial"/>
          <w:sz w:val="21"/>
          <w:szCs w:val="21"/>
        </w:rPr>
        <w:t xml:space="preserve"> del sector</w:t>
      </w:r>
      <w:r w:rsidR="00D04E18" w:rsidRPr="00C74280">
        <w:rPr>
          <w:rFonts w:ascii="Century Gothic" w:hAnsi="Century Gothic" w:cs="Arial"/>
          <w:sz w:val="21"/>
          <w:szCs w:val="21"/>
        </w:rPr>
        <w:t>.</w:t>
      </w:r>
    </w:p>
    <w:p w14:paraId="48D6F600" w14:textId="77777777" w:rsidR="00D04E18" w:rsidRPr="00C74280" w:rsidRDefault="00D04E18" w:rsidP="0089626D">
      <w:pPr>
        <w:spacing w:after="0" w:line="240" w:lineRule="auto"/>
        <w:jc w:val="both"/>
        <w:rPr>
          <w:rFonts w:ascii="Century Gothic" w:hAnsi="Century Gothic" w:cs="Arial"/>
          <w:sz w:val="16"/>
          <w:szCs w:val="21"/>
        </w:rPr>
      </w:pPr>
    </w:p>
    <w:p w14:paraId="1C468B53" w14:textId="58E639FD" w:rsidR="00DB736E" w:rsidRPr="00C74280" w:rsidRDefault="00D04E18" w:rsidP="0089626D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 xml:space="preserve">Así también, se </w:t>
      </w:r>
      <w:r w:rsidR="001F2874" w:rsidRPr="00C74280">
        <w:rPr>
          <w:rFonts w:ascii="Century Gothic" w:hAnsi="Century Gothic" w:cs="Arial"/>
          <w:sz w:val="21"/>
          <w:szCs w:val="21"/>
        </w:rPr>
        <w:t>brindará una base de datos referente a servicios específicos y su geolocalización para una rápida atención</w:t>
      </w:r>
      <w:r w:rsidR="00B154BD" w:rsidRPr="00C74280">
        <w:rPr>
          <w:rFonts w:ascii="Century Gothic" w:eastAsia="Arial" w:hAnsi="Century Gothic" w:cs="Arial"/>
          <w:color w:val="000000"/>
          <w:sz w:val="21"/>
          <w:szCs w:val="21"/>
        </w:rPr>
        <w:t xml:space="preserve">. </w:t>
      </w:r>
      <w:r w:rsidR="00DB736E" w:rsidRPr="00C74280">
        <w:rPr>
          <w:rFonts w:ascii="Century Gothic" w:hAnsi="Century Gothic" w:cs="Arial"/>
          <w:sz w:val="21"/>
          <w:szCs w:val="21"/>
        </w:rPr>
        <w:t>Este moderno sistema tecnológico</w:t>
      </w:r>
      <w:r w:rsidRPr="00C74280">
        <w:rPr>
          <w:rFonts w:ascii="Century Gothic" w:hAnsi="Century Gothic" w:cs="Arial"/>
          <w:sz w:val="21"/>
          <w:szCs w:val="21"/>
        </w:rPr>
        <w:t>,</w:t>
      </w:r>
      <w:r w:rsidR="00DB736E" w:rsidRPr="00C74280">
        <w:rPr>
          <w:rFonts w:ascii="Century Gothic" w:hAnsi="Century Gothic" w:cs="Arial"/>
          <w:sz w:val="21"/>
          <w:szCs w:val="21"/>
        </w:rPr>
        <w:t xml:space="preserve"> </w:t>
      </w:r>
      <w:r w:rsidR="00B154BD" w:rsidRPr="00C74280">
        <w:rPr>
          <w:rFonts w:ascii="Century Gothic" w:hAnsi="Century Gothic" w:cs="Arial"/>
          <w:sz w:val="21"/>
          <w:szCs w:val="21"/>
        </w:rPr>
        <w:t xml:space="preserve">que va de la mano con un plan de negocio, </w:t>
      </w:r>
      <w:r w:rsidR="00DB736E" w:rsidRPr="00C74280">
        <w:rPr>
          <w:rFonts w:ascii="Century Gothic" w:hAnsi="Century Gothic" w:cs="Arial"/>
          <w:sz w:val="21"/>
          <w:szCs w:val="21"/>
        </w:rPr>
        <w:t xml:space="preserve">permitirá al usuario </w:t>
      </w:r>
      <w:r w:rsidR="004A09EA" w:rsidRPr="00C74280">
        <w:rPr>
          <w:rFonts w:ascii="Century Gothic" w:hAnsi="Century Gothic" w:cs="Arial"/>
          <w:sz w:val="21"/>
          <w:szCs w:val="21"/>
        </w:rPr>
        <w:t xml:space="preserve">identificar </w:t>
      </w:r>
      <w:r w:rsidR="00DB736E" w:rsidRPr="00C74280">
        <w:rPr>
          <w:rFonts w:ascii="Century Gothic" w:hAnsi="Century Gothic" w:cs="Arial"/>
          <w:sz w:val="21"/>
          <w:szCs w:val="21"/>
        </w:rPr>
        <w:t xml:space="preserve">el </w:t>
      </w:r>
      <w:r w:rsidR="004A09EA" w:rsidRPr="00C74280">
        <w:rPr>
          <w:rFonts w:ascii="Century Gothic" w:hAnsi="Century Gothic" w:cs="Arial"/>
          <w:sz w:val="21"/>
          <w:szCs w:val="21"/>
        </w:rPr>
        <w:t xml:space="preserve">lugar </w:t>
      </w:r>
      <w:r w:rsidR="00DB736E" w:rsidRPr="00C74280">
        <w:rPr>
          <w:rFonts w:ascii="Century Gothic" w:hAnsi="Century Gothic" w:cs="Arial"/>
          <w:sz w:val="21"/>
          <w:szCs w:val="21"/>
        </w:rPr>
        <w:t xml:space="preserve">exacto de los </w:t>
      </w:r>
      <w:r w:rsidR="0089626D" w:rsidRPr="00C74280">
        <w:rPr>
          <w:rFonts w:ascii="Century Gothic" w:hAnsi="Century Gothic" w:cs="Arial"/>
          <w:sz w:val="21"/>
          <w:szCs w:val="21"/>
        </w:rPr>
        <w:t>actores</w:t>
      </w:r>
      <w:r w:rsidR="002E2507" w:rsidRPr="00C74280">
        <w:rPr>
          <w:rFonts w:ascii="Century Gothic" w:hAnsi="Century Gothic" w:cs="Arial"/>
          <w:sz w:val="21"/>
          <w:szCs w:val="21"/>
        </w:rPr>
        <w:t xml:space="preserve"> del rubro</w:t>
      </w:r>
      <w:r w:rsidRPr="00C74280">
        <w:rPr>
          <w:rFonts w:ascii="Century Gothic" w:hAnsi="Century Gothic" w:cs="Arial"/>
          <w:sz w:val="21"/>
          <w:szCs w:val="21"/>
        </w:rPr>
        <w:t xml:space="preserve">, </w:t>
      </w:r>
      <w:r w:rsidR="00DB736E" w:rsidRPr="00C74280">
        <w:rPr>
          <w:rFonts w:ascii="Century Gothic" w:hAnsi="Century Gothic" w:cs="Arial"/>
          <w:sz w:val="21"/>
          <w:szCs w:val="21"/>
        </w:rPr>
        <w:t xml:space="preserve">los </w:t>
      </w:r>
      <w:r w:rsidR="00B154BD" w:rsidRPr="00C74280">
        <w:rPr>
          <w:rFonts w:ascii="Century Gothic" w:hAnsi="Century Gothic" w:cs="Arial"/>
          <w:sz w:val="21"/>
          <w:szCs w:val="21"/>
        </w:rPr>
        <w:t>c</w:t>
      </w:r>
      <w:r w:rsidR="0089626D" w:rsidRPr="00C74280">
        <w:rPr>
          <w:rFonts w:ascii="Century Gothic" w:hAnsi="Century Gothic" w:cs="Arial"/>
          <w:sz w:val="21"/>
          <w:szCs w:val="21"/>
        </w:rPr>
        <w:t>entros de producción, proveedores de semilla</w:t>
      </w:r>
      <w:r w:rsidR="00B154BD" w:rsidRPr="00C74280">
        <w:rPr>
          <w:rFonts w:ascii="Century Gothic" w:hAnsi="Century Gothic" w:cs="Arial"/>
          <w:sz w:val="21"/>
          <w:szCs w:val="21"/>
        </w:rPr>
        <w:t>,</w:t>
      </w:r>
      <w:r w:rsidR="0089626D" w:rsidRPr="00C74280">
        <w:rPr>
          <w:rFonts w:ascii="Century Gothic" w:hAnsi="Century Gothic" w:cs="Arial"/>
          <w:sz w:val="21"/>
          <w:szCs w:val="21"/>
        </w:rPr>
        <w:t xml:space="preserve"> servicios de transporte, plantas de procesamiento, laboratorios y centros de </w:t>
      </w:r>
      <w:proofErr w:type="gramStart"/>
      <w:r w:rsidR="0089626D" w:rsidRPr="00C74280">
        <w:rPr>
          <w:rFonts w:ascii="Century Gothic" w:hAnsi="Century Gothic" w:cs="Arial"/>
          <w:sz w:val="21"/>
          <w:szCs w:val="21"/>
        </w:rPr>
        <w:t>comercialización</w:t>
      </w:r>
      <w:proofErr w:type="gramEnd"/>
      <w:r w:rsidR="00DB736E" w:rsidRPr="00C74280">
        <w:rPr>
          <w:rFonts w:ascii="Century Gothic" w:hAnsi="Century Gothic" w:cs="Arial"/>
          <w:sz w:val="21"/>
          <w:szCs w:val="21"/>
        </w:rPr>
        <w:t>.</w:t>
      </w:r>
    </w:p>
    <w:p w14:paraId="24DEB1E9" w14:textId="77777777" w:rsidR="004A09EA" w:rsidRPr="00C74280" w:rsidRDefault="004A09EA" w:rsidP="0089626D">
      <w:pPr>
        <w:spacing w:after="0" w:line="240" w:lineRule="auto"/>
        <w:jc w:val="both"/>
        <w:rPr>
          <w:rFonts w:ascii="Century Gothic" w:hAnsi="Century Gothic" w:cs="Arial"/>
          <w:sz w:val="16"/>
          <w:szCs w:val="21"/>
        </w:rPr>
      </w:pPr>
    </w:p>
    <w:p w14:paraId="1A90F78B" w14:textId="3EADC111" w:rsidR="004A09EA" w:rsidRPr="00C74280" w:rsidRDefault="004A09EA" w:rsidP="004A09E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 xml:space="preserve">De esta manera, se pone al alcance de los productores una alternativa moderna y eficaz para la mejora de sus cultivos y su posterior comercialización a mercados nacionales. Como se recuerda, la acuicultura en el Perú ha tomado impulso en los últimos años, destacando </w:t>
      </w:r>
      <w:r w:rsidR="001079BE" w:rsidRPr="00C74280">
        <w:rPr>
          <w:rFonts w:ascii="Century Gothic" w:hAnsi="Century Gothic" w:cs="Arial"/>
          <w:sz w:val="21"/>
          <w:szCs w:val="21"/>
        </w:rPr>
        <w:t>la concha de abanico, la cual</w:t>
      </w:r>
      <w:r w:rsidRPr="00C74280">
        <w:rPr>
          <w:rFonts w:ascii="Century Gothic" w:hAnsi="Century Gothic" w:cs="Arial"/>
          <w:sz w:val="21"/>
          <w:szCs w:val="21"/>
        </w:rPr>
        <w:t xml:space="preserve"> tiene como zona de mayor producción la bahía de </w:t>
      </w:r>
      <w:proofErr w:type="spellStart"/>
      <w:r w:rsidRPr="00C74280">
        <w:rPr>
          <w:rFonts w:ascii="Century Gothic" w:hAnsi="Century Gothic" w:cs="Arial"/>
          <w:sz w:val="21"/>
          <w:szCs w:val="21"/>
        </w:rPr>
        <w:t>Sechura</w:t>
      </w:r>
      <w:proofErr w:type="spellEnd"/>
      <w:r w:rsidRPr="00C74280">
        <w:rPr>
          <w:rFonts w:ascii="Century Gothic" w:hAnsi="Century Gothic" w:cs="Arial"/>
          <w:sz w:val="21"/>
          <w:szCs w:val="21"/>
        </w:rPr>
        <w:t>, en la región Piura.</w:t>
      </w:r>
    </w:p>
    <w:p w14:paraId="52769A34" w14:textId="77777777" w:rsidR="00AA79EA" w:rsidRPr="00C74280" w:rsidRDefault="00AA79EA" w:rsidP="00AA79EA">
      <w:pPr>
        <w:spacing w:after="0" w:line="240" w:lineRule="auto"/>
        <w:jc w:val="both"/>
        <w:rPr>
          <w:rFonts w:ascii="Century Gothic" w:hAnsi="Century Gothic" w:cs="Arial"/>
          <w:sz w:val="16"/>
          <w:szCs w:val="21"/>
        </w:rPr>
      </w:pPr>
    </w:p>
    <w:p w14:paraId="750660D9" w14:textId="77777777" w:rsidR="002E2507" w:rsidRPr="00C74280" w:rsidRDefault="004A09EA" w:rsidP="00AA79E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 xml:space="preserve">“Ada Perú” </w:t>
      </w:r>
      <w:r w:rsidR="001079BE" w:rsidRPr="00C74280">
        <w:rPr>
          <w:rFonts w:ascii="Century Gothic" w:hAnsi="Century Gothic" w:cs="Arial"/>
          <w:sz w:val="21"/>
          <w:szCs w:val="21"/>
        </w:rPr>
        <w:t>es un sistema que fue elaborado por la Dirección de Investigación, Desarrollo, Innovación y Transferencia Tecnológica (DIDITT)</w:t>
      </w:r>
      <w:r w:rsidR="002E2507" w:rsidRPr="00C74280">
        <w:rPr>
          <w:rFonts w:ascii="Century Gothic" w:hAnsi="Century Gothic" w:cs="Arial"/>
          <w:sz w:val="21"/>
          <w:szCs w:val="21"/>
        </w:rPr>
        <w:t xml:space="preserve"> del ITP.</w:t>
      </w:r>
      <w:r w:rsidR="001079BE" w:rsidRPr="00C74280">
        <w:rPr>
          <w:rFonts w:ascii="Century Gothic" w:hAnsi="Century Gothic" w:cs="Arial"/>
          <w:sz w:val="21"/>
          <w:szCs w:val="21"/>
        </w:rPr>
        <w:t xml:space="preserve"> </w:t>
      </w:r>
    </w:p>
    <w:p w14:paraId="6FD5A304" w14:textId="77777777" w:rsidR="002E2507" w:rsidRPr="00C74280" w:rsidRDefault="002E2507" w:rsidP="00AA79EA">
      <w:pPr>
        <w:spacing w:after="0" w:line="240" w:lineRule="auto"/>
        <w:jc w:val="both"/>
        <w:rPr>
          <w:rFonts w:ascii="Century Gothic" w:hAnsi="Century Gothic" w:cs="Arial"/>
          <w:sz w:val="16"/>
          <w:szCs w:val="21"/>
        </w:rPr>
      </w:pPr>
    </w:p>
    <w:p w14:paraId="26CC13FB" w14:textId="786484D0" w:rsidR="00AA79EA" w:rsidRPr="00C74280" w:rsidRDefault="002E2507" w:rsidP="00AA79E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>Respecto al</w:t>
      </w:r>
      <w:r w:rsidR="001079BE" w:rsidRPr="00C74280">
        <w:rPr>
          <w:rFonts w:ascii="Century Gothic" w:hAnsi="Century Gothic" w:cs="Arial"/>
          <w:sz w:val="21"/>
          <w:szCs w:val="21"/>
        </w:rPr>
        <w:t xml:space="preserve"> </w:t>
      </w:r>
      <w:r w:rsidR="00AA79EA" w:rsidRPr="00C74280">
        <w:rPr>
          <w:rFonts w:ascii="Century Gothic" w:hAnsi="Century Gothic" w:cs="Arial"/>
          <w:sz w:val="21"/>
          <w:szCs w:val="21"/>
        </w:rPr>
        <w:t>plan de negocio</w:t>
      </w:r>
      <w:r w:rsidRPr="00C74280">
        <w:rPr>
          <w:rFonts w:ascii="Century Gothic" w:hAnsi="Century Gothic" w:cs="Arial"/>
          <w:sz w:val="21"/>
          <w:szCs w:val="21"/>
        </w:rPr>
        <w:t>, se enmarca</w:t>
      </w:r>
      <w:r w:rsidR="00AA79EA" w:rsidRPr="00C74280">
        <w:rPr>
          <w:rFonts w:ascii="Century Gothic" w:hAnsi="Century Gothic" w:cs="Arial"/>
          <w:sz w:val="21"/>
          <w:szCs w:val="21"/>
        </w:rPr>
        <w:t xml:space="preserve"> </w:t>
      </w:r>
      <w:r w:rsidR="001079BE" w:rsidRPr="00C74280">
        <w:rPr>
          <w:rFonts w:ascii="Century Gothic" w:hAnsi="Century Gothic" w:cs="Arial"/>
          <w:sz w:val="21"/>
          <w:szCs w:val="21"/>
        </w:rPr>
        <w:t xml:space="preserve">en dos objetivos específicos. </w:t>
      </w:r>
      <w:r w:rsidRPr="00C74280">
        <w:rPr>
          <w:rFonts w:ascii="Century Gothic" w:hAnsi="Century Gothic" w:cs="Arial"/>
          <w:sz w:val="21"/>
          <w:szCs w:val="21"/>
        </w:rPr>
        <w:t>El primero</w:t>
      </w:r>
      <w:r w:rsidR="008D157C" w:rsidRPr="00C74280">
        <w:rPr>
          <w:rFonts w:ascii="Century Gothic" w:hAnsi="Century Gothic" w:cs="Arial"/>
          <w:sz w:val="21"/>
          <w:szCs w:val="21"/>
        </w:rPr>
        <w:t xml:space="preserve">, </w:t>
      </w:r>
      <w:r w:rsidRPr="00C74280">
        <w:rPr>
          <w:rFonts w:ascii="Century Gothic" w:hAnsi="Century Gothic" w:cs="Arial"/>
          <w:sz w:val="21"/>
          <w:szCs w:val="21"/>
        </w:rPr>
        <w:t>orientado</w:t>
      </w:r>
      <w:r w:rsidR="00AA79EA" w:rsidRPr="00C74280">
        <w:rPr>
          <w:rFonts w:ascii="Century Gothic" w:hAnsi="Century Gothic" w:cs="Arial"/>
          <w:sz w:val="21"/>
          <w:szCs w:val="21"/>
        </w:rPr>
        <w:t xml:space="preserve"> al cultivo suspendido y procesamiento de concha de abanico en la presentación roe off congelada, mientras que la segunda opción está </w:t>
      </w:r>
      <w:r w:rsidR="008D157C" w:rsidRPr="00C74280">
        <w:rPr>
          <w:rFonts w:ascii="Century Gothic" w:hAnsi="Century Gothic" w:cs="Arial"/>
          <w:sz w:val="21"/>
          <w:szCs w:val="21"/>
        </w:rPr>
        <w:t xml:space="preserve">dirigida </w:t>
      </w:r>
      <w:r w:rsidR="00AA79EA" w:rsidRPr="00C74280">
        <w:rPr>
          <w:rFonts w:ascii="Century Gothic" w:hAnsi="Century Gothic" w:cs="Arial"/>
          <w:sz w:val="21"/>
          <w:szCs w:val="21"/>
        </w:rPr>
        <w:t xml:space="preserve">al cultivo suspendido y comercialización de concha de abanico en tallas de 65-70 </w:t>
      </w:r>
      <w:proofErr w:type="spellStart"/>
      <w:r w:rsidR="00AA79EA" w:rsidRPr="00C74280">
        <w:rPr>
          <w:rFonts w:ascii="Century Gothic" w:hAnsi="Century Gothic" w:cs="Arial"/>
          <w:sz w:val="21"/>
          <w:szCs w:val="21"/>
        </w:rPr>
        <w:t>mm.</w:t>
      </w:r>
      <w:proofErr w:type="spellEnd"/>
    </w:p>
    <w:p w14:paraId="73F41483" w14:textId="730DAE26" w:rsidR="00D04E18" w:rsidRPr="00C74280" w:rsidRDefault="00D04E18" w:rsidP="00AA79EA">
      <w:pPr>
        <w:spacing w:after="0" w:line="240" w:lineRule="auto"/>
        <w:jc w:val="both"/>
        <w:rPr>
          <w:rFonts w:ascii="Century Gothic" w:hAnsi="Century Gothic" w:cs="Arial"/>
          <w:sz w:val="16"/>
          <w:szCs w:val="21"/>
        </w:rPr>
      </w:pPr>
    </w:p>
    <w:p w14:paraId="6EDEEFDF" w14:textId="7E381414" w:rsidR="00D04E18" w:rsidRPr="00C74280" w:rsidRDefault="00D04E18" w:rsidP="00AA79E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 xml:space="preserve">Cabe precisar que ambos instrumentos de gestión, tanto el aplicativo móvil como el plan de negocios de la concha de abanico, </w:t>
      </w:r>
      <w:r w:rsidR="009E74EC" w:rsidRPr="00C74280">
        <w:rPr>
          <w:rFonts w:ascii="Century Gothic" w:hAnsi="Century Gothic" w:cs="Arial"/>
          <w:sz w:val="21"/>
          <w:szCs w:val="21"/>
        </w:rPr>
        <w:t>buscan potenciar el sector acuícola a partir de la innovación y tecnología.</w:t>
      </w:r>
    </w:p>
    <w:p w14:paraId="2A2703F5" w14:textId="77777777" w:rsidR="00A43E44" w:rsidRPr="00C74280" w:rsidRDefault="00A43E44" w:rsidP="008D157C">
      <w:pPr>
        <w:spacing w:after="0" w:line="240" w:lineRule="auto"/>
        <w:jc w:val="both"/>
        <w:rPr>
          <w:rFonts w:ascii="Century Gothic" w:hAnsi="Century Gothic" w:cs="Arial"/>
          <w:sz w:val="16"/>
          <w:szCs w:val="21"/>
        </w:rPr>
      </w:pPr>
    </w:p>
    <w:p w14:paraId="530FCFCF" w14:textId="20A40CDF" w:rsidR="008D157C" w:rsidRPr="00C74280" w:rsidRDefault="008D157C" w:rsidP="008D157C">
      <w:pPr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C74280">
        <w:rPr>
          <w:rFonts w:ascii="Century Gothic" w:hAnsi="Century Gothic" w:cs="Arial"/>
          <w:b/>
          <w:sz w:val="21"/>
          <w:szCs w:val="21"/>
        </w:rPr>
        <w:t>Dato</w:t>
      </w:r>
    </w:p>
    <w:p w14:paraId="7B9766AE" w14:textId="3060EC43" w:rsidR="00A43E44" w:rsidRPr="00C74280" w:rsidRDefault="00A43E44" w:rsidP="00C2446D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>La DIDIT</w:t>
      </w:r>
      <w:r w:rsidR="00D04E18" w:rsidRPr="00C74280">
        <w:rPr>
          <w:rFonts w:ascii="Century Gothic" w:hAnsi="Century Gothic" w:cs="Arial"/>
          <w:sz w:val="21"/>
          <w:szCs w:val="21"/>
        </w:rPr>
        <w:t>T</w:t>
      </w:r>
      <w:r w:rsidRPr="00C74280">
        <w:rPr>
          <w:rFonts w:ascii="Century Gothic" w:hAnsi="Century Gothic" w:cs="Arial"/>
          <w:sz w:val="21"/>
          <w:szCs w:val="21"/>
        </w:rPr>
        <w:t xml:space="preserve"> es el órgano de línea del ITP encargado de identificar, proponer, promover, adopta</w:t>
      </w:r>
      <w:r w:rsidR="00F40ADA" w:rsidRPr="00C74280">
        <w:rPr>
          <w:rFonts w:ascii="Century Gothic" w:hAnsi="Century Gothic" w:cs="Arial"/>
          <w:sz w:val="21"/>
          <w:szCs w:val="21"/>
        </w:rPr>
        <w:t xml:space="preserve">r y adaptar nuevas tecnologías </w:t>
      </w:r>
      <w:r w:rsidRPr="00C74280">
        <w:rPr>
          <w:rFonts w:ascii="Century Gothic" w:hAnsi="Century Gothic" w:cs="Arial"/>
          <w:sz w:val="21"/>
          <w:szCs w:val="21"/>
        </w:rPr>
        <w:t>del sector producción; asimismo gestiona el desarrollo de los servicios de transferencia tecnológica, en las cadenas productivas en el marco de la política sectorial de innovación productiva y transferencia tecnológica.</w:t>
      </w:r>
    </w:p>
    <w:p w14:paraId="35CF9F4D" w14:textId="77777777" w:rsidR="00A43E44" w:rsidRPr="00C74280" w:rsidRDefault="00A43E44" w:rsidP="00C2446D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sz w:val="16"/>
          <w:szCs w:val="21"/>
        </w:rPr>
      </w:pPr>
    </w:p>
    <w:p w14:paraId="2DEC2117" w14:textId="5CFB47B0" w:rsidR="00A43E44" w:rsidRPr="00C74280" w:rsidRDefault="00A43E44" w:rsidP="00C2446D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C74280">
        <w:rPr>
          <w:rFonts w:ascii="Century Gothic" w:hAnsi="Century Gothic" w:cs="Arial"/>
          <w:sz w:val="21"/>
          <w:szCs w:val="21"/>
        </w:rPr>
        <w:t>Del año 2020 a la fecha, ha brindado 4, 919 servicios de ensayos de laboratorio y 25 servicios tecnológicos (prototipos), sumando un total de 4,944 servicios.</w:t>
      </w:r>
      <w:r w:rsidR="00F40ADA" w:rsidRPr="00C74280">
        <w:rPr>
          <w:rFonts w:ascii="Century Gothic" w:hAnsi="Century Gothic" w:cs="Arial"/>
          <w:sz w:val="21"/>
          <w:szCs w:val="21"/>
        </w:rPr>
        <w:t xml:space="preserve"> </w:t>
      </w:r>
      <w:r w:rsidRPr="00C74280">
        <w:rPr>
          <w:rFonts w:ascii="Century Gothic" w:hAnsi="Century Gothic" w:cs="Arial"/>
          <w:sz w:val="21"/>
          <w:szCs w:val="21"/>
        </w:rPr>
        <w:t>Asimismo, desde el año 2015, viene fortaleciendo las capacidades de 33,164 agentes de la pesca artesanal con servicios de capacitación en buenas prácticas de manejo de recursos hidrobiológicos.</w:t>
      </w:r>
    </w:p>
    <w:p w14:paraId="0759C860" w14:textId="77777777" w:rsidR="00C74280" w:rsidRDefault="00C74280" w:rsidP="009D6D9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040"/>
        <w:jc w:val="both"/>
        <w:rPr>
          <w:rFonts w:ascii="Century Gothic" w:eastAsia="Arial" w:hAnsi="Century Gothic" w:cs="Arial"/>
          <w:b/>
          <w:color w:val="000000"/>
        </w:rPr>
      </w:pPr>
    </w:p>
    <w:p w14:paraId="20570B1F" w14:textId="442C77C3" w:rsidR="00211E7B" w:rsidRDefault="00755197" w:rsidP="00211E7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040"/>
        <w:jc w:val="both"/>
        <w:rPr>
          <w:rFonts w:ascii="Century Gothic" w:eastAsia="Arial" w:hAnsi="Century Gothic" w:cs="Arial"/>
          <w:b/>
          <w:color w:val="000000"/>
        </w:rPr>
      </w:pPr>
      <w:r w:rsidRPr="002C10A1">
        <w:rPr>
          <w:rFonts w:ascii="Century Gothic" w:eastAsia="Arial" w:hAnsi="Century Gothic" w:cs="Arial"/>
          <w:b/>
          <w:color w:val="000000"/>
        </w:rPr>
        <w:t>Lima</w:t>
      </w:r>
      <w:r w:rsidR="00A43E44">
        <w:rPr>
          <w:rFonts w:ascii="Century Gothic" w:eastAsia="Arial" w:hAnsi="Century Gothic" w:cs="Arial"/>
          <w:b/>
          <w:color w:val="000000"/>
        </w:rPr>
        <w:t>, 14 de se</w:t>
      </w:r>
      <w:r w:rsidR="00F40ADA">
        <w:rPr>
          <w:rFonts w:ascii="Century Gothic" w:eastAsia="Arial" w:hAnsi="Century Gothic" w:cs="Arial"/>
          <w:b/>
          <w:color w:val="000000"/>
        </w:rPr>
        <w:t>p</w:t>
      </w:r>
      <w:r w:rsidR="00A43E44">
        <w:rPr>
          <w:rFonts w:ascii="Century Gothic" w:eastAsia="Arial" w:hAnsi="Century Gothic" w:cs="Arial"/>
          <w:b/>
          <w:color w:val="000000"/>
        </w:rPr>
        <w:t>tiembre</w:t>
      </w:r>
      <w:r w:rsidR="00F82BD0">
        <w:rPr>
          <w:rFonts w:ascii="Century Gothic" w:eastAsia="Arial" w:hAnsi="Century Gothic" w:cs="Arial"/>
          <w:b/>
          <w:color w:val="000000"/>
        </w:rPr>
        <w:t xml:space="preserve"> del </w:t>
      </w:r>
      <w:r w:rsidR="001E30E7" w:rsidRPr="002C10A1">
        <w:rPr>
          <w:rFonts w:ascii="Century Gothic" w:eastAsia="Arial" w:hAnsi="Century Gothic" w:cs="Arial"/>
          <w:b/>
          <w:color w:val="000000"/>
        </w:rPr>
        <w:t>2021</w:t>
      </w:r>
    </w:p>
    <w:p w14:paraId="465272DD" w14:textId="77777777" w:rsidR="00211E7B" w:rsidRPr="00C74280" w:rsidRDefault="00211E7B" w:rsidP="00211E7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Century Gothic" w:eastAsia="Arial" w:hAnsi="Century Gothic" w:cs="Arial"/>
          <w:b/>
          <w:color w:val="000000"/>
        </w:rPr>
      </w:pPr>
    </w:p>
    <w:sectPr w:rsidR="00211E7B" w:rsidRPr="00C74280" w:rsidSect="00F82BD0">
      <w:headerReference w:type="default" r:id="rId8"/>
      <w:footerReference w:type="default" r:id="rId9"/>
      <w:pgSz w:w="11906" w:h="16838"/>
      <w:pgMar w:top="993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C50F" w14:textId="77777777" w:rsidR="006274A3" w:rsidRDefault="006274A3">
      <w:pPr>
        <w:spacing w:after="0" w:line="240" w:lineRule="auto"/>
      </w:pPr>
      <w:r>
        <w:separator/>
      </w:r>
    </w:p>
  </w:endnote>
  <w:endnote w:type="continuationSeparator" w:id="0">
    <w:p w14:paraId="6B2C76C4" w14:textId="77777777" w:rsidR="006274A3" w:rsidRDefault="006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1465" w14:textId="77777777" w:rsidR="00343212" w:rsidRDefault="00343212" w:rsidP="008070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D352" w14:textId="77777777" w:rsidR="006274A3" w:rsidRDefault="006274A3">
      <w:pPr>
        <w:spacing w:after="0" w:line="240" w:lineRule="auto"/>
      </w:pPr>
      <w:r>
        <w:separator/>
      </w:r>
    </w:p>
  </w:footnote>
  <w:footnote w:type="continuationSeparator" w:id="0">
    <w:p w14:paraId="79032388" w14:textId="77777777" w:rsidR="006274A3" w:rsidRDefault="0062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5133" w14:textId="77777777" w:rsidR="00343212" w:rsidRDefault="002E11C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5FF77" wp14:editId="41E6578A">
          <wp:simplePos x="0" y="0"/>
          <wp:positionH relativeFrom="column">
            <wp:posOffset>-342897</wp:posOffset>
          </wp:positionH>
          <wp:positionV relativeFrom="paragraph">
            <wp:posOffset>-234946</wp:posOffset>
          </wp:positionV>
          <wp:extent cx="2186940" cy="442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B924C5" wp14:editId="25C47907">
          <wp:simplePos x="0" y="0"/>
          <wp:positionH relativeFrom="column">
            <wp:posOffset>4681220</wp:posOffset>
          </wp:positionH>
          <wp:positionV relativeFrom="paragraph">
            <wp:posOffset>-403857</wp:posOffset>
          </wp:positionV>
          <wp:extent cx="1714500" cy="84582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71F15C" w14:textId="77777777" w:rsidR="00343212" w:rsidRDefault="002E11C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63C4C0" wp14:editId="777FF754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03BD8" w14:textId="77777777" w:rsidR="00F3241D" w:rsidRDefault="006274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D63C4C0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03403BD8" w14:textId="77777777" w:rsidR="00F3241D" w:rsidRDefault="00172CE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53C7A" w14:textId="77777777" w:rsidR="00343212" w:rsidRDefault="003432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7B0"/>
    <w:multiLevelType w:val="hybridMultilevel"/>
    <w:tmpl w:val="9272B9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2D75"/>
    <w:multiLevelType w:val="hybridMultilevel"/>
    <w:tmpl w:val="597C40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990"/>
    <w:multiLevelType w:val="hybridMultilevel"/>
    <w:tmpl w:val="9188B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07CD"/>
    <w:multiLevelType w:val="hybridMultilevel"/>
    <w:tmpl w:val="D646D2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CF"/>
    <w:multiLevelType w:val="hybridMultilevel"/>
    <w:tmpl w:val="52A86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0A0"/>
    <w:multiLevelType w:val="hybridMultilevel"/>
    <w:tmpl w:val="05E8DF2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36AD0"/>
    <w:multiLevelType w:val="hybridMultilevel"/>
    <w:tmpl w:val="0A3AC8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1E9D"/>
    <w:multiLevelType w:val="hybridMultilevel"/>
    <w:tmpl w:val="3BB62C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209D"/>
    <w:multiLevelType w:val="hybridMultilevel"/>
    <w:tmpl w:val="B3BCC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1042"/>
    <w:multiLevelType w:val="hybridMultilevel"/>
    <w:tmpl w:val="E3000E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84D08"/>
    <w:multiLevelType w:val="hybridMultilevel"/>
    <w:tmpl w:val="F09AF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699"/>
    <w:multiLevelType w:val="hybridMultilevel"/>
    <w:tmpl w:val="7FBE2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439"/>
    <w:multiLevelType w:val="hybridMultilevel"/>
    <w:tmpl w:val="282697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1E49"/>
    <w:multiLevelType w:val="hybridMultilevel"/>
    <w:tmpl w:val="10561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45405"/>
    <w:multiLevelType w:val="hybridMultilevel"/>
    <w:tmpl w:val="22BA8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1946"/>
    <w:multiLevelType w:val="hybridMultilevel"/>
    <w:tmpl w:val="99ACF9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95E4C"/>
    <w:multiLevelType w:val="hybridMultilevel"/>
    <w:tmpl w:val="AA1EE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2405"/>
    <w:multiLevelType w:val="hybridMultilevel"/>
    <w:tmpl w:val="FDE62A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74EE5"/>
    <w:multiLevelType w:val="hybridMultilevel"/>
    <w:tmpl w:val="EEEE9F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A7A4B"/>
    <w:multiLevelType w:val="multilevel"/>
    <w:tmpl w:val="DBE098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7A7097"/>
    <w:multiLevelType w:val="hybridMultilevel"/>
    <w:tmpl w:val="61405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4"/>
  </w:num>
  <w:num w:numId="5">
    <w:abstractNumId w:val="9"/>
  </w:num>
  <w:num w:numId="6">
    <w:abstractNumId w:val="20"/>
  </w:num>
  <w:num w:numId="7">
    <w:abstractNumId w:val="12"/>
  </w:num>
  <w:num w:numId="8">
    <w:abstractNumId w:val="18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  <w:num w:numId="19">
    <w:abstractNumId w:val="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2"/>
    <w:rsid w:val="00037E7F"/>
    <w:rsid w:val="000410B2"/>
    <w:rsid w:val="00053BDF"/>
    <w:rsid w:val="00087943"/>
    <w:rsid w:val="000939D5"/>
    <w:rsid w:val="00094C4F"/>
    <w:rsid w:val="000A0A11"/>
    <w:rsid w:val="000A11BC"/>
    <w:rsid w:val="000E128A"/>
    <w:rsid w:val="000F2135"/>
    <w:rsid w:val="00101E6D"/>
    <w:rsid w:val="0010549C"/>
    <w:rsid w:val="00107933"/>
    <w:rsid w:val="001079BE"/>
    <w:rsid w:val="00112F0D"/>
    <w:rsid w:val="00114523"/>
    <w:rsid w:val="00137491"/>
    <w:rsid w:val="001424C6"/>
    <w:rsid w:val="0014373D"/>
    <w:rsid w:val="00145C00"/>
    <w:rsid w:val="0015299F"/>
    <w:rsid w:val="0015332B"/>
    <w:rsid w:val="00172CED"/>
    <w:rsid w:val="001B3993"/>
    <w:rsid w:val="001D3AAA"/>
    <w:rsid w:val="001E0554"/>
    <w:rsid w:val="001E30E7"/>
    <w:rsid w:val="001E4503"/>
    <w:rsid w:val="001F2874"/>
    <w:rsid w:val="00211E7B"/>
    <w:rsid w:val="00252918"/>
    <w:rsid w:val="0027098B"/>
    <w:rsid w:val="002A6B88"/>
    <w:rsid w:val="002C10A1"/>
    <w:rsid w:val="002C3856"/>
    <w:rsid w:val="002D660D"/>
    <w:rsid w:val="002E11C3"/>
    <w:rsid w:val="002E13F7"/>
    <w:rsid w:val="002E2507"/>
    <w:rsid w:val="002E50FB"/>
    <w:rsid w:val="00302CB4"/>
    <w:rsid w:val="0030415B"/>
    <w:rsid w:val="003107A1"/>
    <w:rsid w:val="00343212"/>
    <w:rsid w:val="003465BD"/>
    <w:rsid w:val="003569C1"/>
    <w:rsid w:val="00360C42"/>
    <w:rsid w:val="00362FE1"/>
    <w:rsid w:val="0036611A"/>
    <w:rsid w:val="0037034D"/>
    <w:rsid w:val="003818F0"/>
    <w:rsid w:val="00382871"/>
    <w:rsid w:val="00396DF1"/>
    <w:rsid w:val="003B081F"/>
    <w:rsid w:val="003B2A2D"/>
    <w:rsid w:val="003C1C9B"/>
    <w:rsid w:val="003D7525"/>
    <w:rsid w:val="00412BEB"/>
    <w:rsid w:val="00420D85"/>
    <w:rsid w:val="00450523"/>
    <w:rsid w:val="00451F77"/>
    <w:rsid w:val="00453935"/>
    <w:rsid w:val="004614FA"/>
    <w:rsid w:val="0047317B"/>
    <w:rsid w:val="004811B2"/>
    <w:rsid w:val="00493691"/>
    <w:rsid w:val="004A09EA"/>
    <w:rsid w:val="004C0AE8"/>
    <w:rsid w:val="004C6808"/>
    <w:rsid w:val="004D2BBA"/>
    <w:rsid w:val="004D61F5"/>
    <w:rsid w:val="004F34C0"/>
    <w:rsid w:val="00500538"/>
    <w:rsid w:val="00506D23"/>
    <w:rsid w:val="005151E0"/>
    <w:rsid w:val="005164BE"/>
    <w:rsid w:val="00522C01"/>
    <w:rsid w:val="00527804"/>
    <w:rsid w:val="00533CC7"/>
    <w:rsid w:val="00557AF2"/>
    <w:rsid w:val="0058190C"/>
    <w:rsid w:val="00584582"/>
    <w:rsid w:val="0059495A"/>
    <w:rsid w:val="00597178"/>
    <w:rsid w:val="005A4835"/>
    <w:rsid w:val="005B14E3"/>
    <w:rsid w:val="005C138F"/>
    <w:rsid w:val="005D0AFD"/>
    <w:rsid w:val="005D6FFC"/>
    <w:rsid w:val="005E2A09"/>
    <w:rsid w:val="005E3274"/>
    <w:rsid w:val="006031AF"/>
    <w:rsid w:val="006141E5"/>
    <w:rsid w:val="0061781F"/>
    <w:rsid w:val="00624A11"/>
    <w:rsid w:val="006274A3"/>
    <w:rsid w:val="00627DC3"/>
    <w:rsid w:val="00653A4A"/>
    <w:rsid w:val="0065751A"/>
    <w:rsid w:val="006677ED"/>
    <w:rsid w:val="00670A98"/>
    <w:rsid w:val="006715F0"/>
    <w:rsid w:val="00675B88"/>
    <w:rsid w:val="006A3436"/>
    <w:rsid w:val="006A617D"/>
    <w:rsid w:val="006B64C0"/>
    <w:rsid w:val="006B7809"/>
    <w:rsid w:val="006B79A2"/>
    <w:rsid w:val="006D214E"/>
    <w:rsid w:val="006F633C"/>
    <w:rsid w:val="0071753F"/>
    <w:rsid w:val="00723C02"/>
    <w:rsid w:val="00750DA6"/>
    <w:rsid w:val="00755197"/>
    <w:rsid w:val="0077273C"/>
    <w:rsid w:val="00773A27"/>
    <w:rsid w:val="00783172"/>
    <w:rsid w:val="007B2F7E"/>
    <w:rsid w:val="007D2F1B"/>
    <w:rsid w:val="007E748E"/>
    <w:rsid w:val="008070D4"/>
    <w:rsid w:val="008167BA"/>
    <w:rsid w:val="0083653E"/>
    <w:rsid w:val="00842B47"/>
    <w:rsid w:val="00870B89"/>
    <w:rsid w:val="00877C21"/>
    <w:rsid w:val="0089626D"/>
    <w:rsid w:val="0089755C"/>
    <w:rsid w:val="008C3895"/>
    <w:rsid w:val="008C7C07"/>
    <w:rsid w:val="008D157C"/>
    <w:rsid w:val="008D7144"/>
    <w:rsid w:val="008E3AD6"/>
    <w:rsid w:val="008E40CA"/>
    <w:rsid w:val="009154D9"/>
    <w:rsid w:val="0091584F"/>
    <w:rsid w:val="00922D60"/>
    <w:rsid w:val="00952204"/>
    <w:rsid w:val="00961A2A"/>
    <w:rsid w:val="00984885"/>
    <w:rsid w:val="00990441"/>
    <w:rsid w:val="00990B2F"/>
    <w:rsid w:val="00996F84"/>
    <w:rsid w:val="009A02B0"/>
    <w:rsid w:val="009A035B"/>
    <w:rsid w:val="009C0412"/>
    <w:rsid w:val="009D6D9E"/>
    <w:rsid w:val="009E74EC"/>
    <w:rsid w:val="009F6E32"/>
    <w:rsid w:val="00A01FDA"/>
    <w:rsid w:val="00A1551D"/>
    <w:rsid w:val="00A15C1D"/>
    <w:rsid w:val="00A41F92"/>
    <w:rsid w:val="00A42940"/>
    <w:rsid w:val="00A43E44"/>
    <w:rsid w:val="00A708A5"/>
    <w:rsid w:val="00A826F0"/>
    <w:rsid w:val="00A8383D"/>
    <w:rsid w:val="00A85C86"/>
    <w:rsid w:val="00A862BB"/>
    <w:rsid w:val="00AA145C"/>
    <w:rsid w:val="00AA79EA"/>
    <w:rsid w:val="00AE24A6"/>
    <w:rsid w:val="00AF1202"/>
    <w:rsid w:val="00AF3A5C"/>
    <w:rsid w:val="00B154BD"/>
    <w:rsid w:val="00B156CE"/>
    <w:rsid w:val="00B16506"/>
    <w:rsid w:val="00B20891"/>
    <w:rsid w:val="00B43A75"/>
    <w:rsid w:val="00B529D8"/>
    <w:rsid w:val="00B54485"/>
    <w:rsid w:val="00B6397E"/>
    <w:rsid w:val="00B66D26"/>
    <w:rsid w:val="00B71141"/>
    <w:rsid w:val="00B751AF"/>
    <w:rsid w:val="00B75D85"/>
    <w:rsid w:val="00B77A43"/>
    <w:rsid w:val="00B90382"/>
    <w:rsid w:val="00B92C05"/>
    <w:rsid w:val="00BA68AA"/>
    <w:rsid w:val="00BB4BA3"/>
    <w:rsid w:val="00BC56D4"/>
    <w:rsid w:val="00C03AD6"/>
    <w:rsid w:val="00C12679"/>
    <w:rsid w:val="00C2446D"/>
    <w:rsid w:val="00C401BF"/>
    <w:rsid w:val="00C66C83"/>
    <w:rsid w:val="00C74280"/>
    <w:rsid w:val="00CE0B0A"/>
    <w:rsid w:val="00CE3AFA"/>
    <w:rsid w:val="00CF3E33"/>
    <w:rsid w:val="00CF7A20"/>
    <w:rsid w:val="00D04E18"/>
    <w:rsid w:val="00D43EF8"/>
    <w:rsid w:val="00D55B5E"/>
    <w:rsid w:val="00D6653B"/>
    <w:rsid w:val="00D6769E"/>
    <w:rsid w:val="00D85612"/>
    <w:rsid w:val="00D87544"/>
    <w:rsid w:val="00D95F3D"/>
    <w:rsid w:val="00D962D0"/>
    <w:rsid w:val="00DB736E"/>
    <w:rsid w:val="00DE5759"/>
    <w:rsid w:val="00E12DAE"/>
    <w:rsid w:val="00E12DD3"/>
    <w:rsid w:val="00E13149"/>
    <w:rsid w:val="00E467E5"/>
    <w:rsid w:val="00EA20B2"/>
    <w:rsid w:val="00EA32CE"/>
    <w:rsid w:val="00EB1DCC"/>
    <w:rsid w:val="00ED264F"/>
    <w:rsid w:val="00EF048A"/>
    <w:rsid w:val="00EF4B7C"/>
    <w:rsid w:val="00F06874"/>
    <w:rsid w:val="00F116EB"/>
    <w:rsid w:val="00F15F78"/>
    <w:rsid w:val="00F173C9"/>
    <w:rsid w:val="00F35069"/>
    <w:rsid w:val="00F40ADA"/>
    <w:rsid w:val="00F44E88"/>
    <w:rsid w:val="00F52B7C"/>
    <w:rsid w:val="00F65C3A"/>
    <w:rsid w:val="00F70800"/>
    <w:rsid w:val="00F73303"/>
    <w:rsid w:val="00F82BD0"/>
    <w:rsid w:val="00F91027"/>
    <w:rsid w:val="00FA6D3E"/>
    <w:rsid w:val="00FB4336"/>
    <w:rsid w:val="00FB7329"/>
    <w:rsid w:val="00FC5BD0"/>
    <w:rsid w:val="00FD7BC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12EAB"/>
  <w15:docId w15:val="{02F819C6-9FC8-4CB7-8B0B-1A22CD0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List Paragraph-Thesis,TITULO A,Titulo de Fígura,Fundamentacion,Number List 1,N°,ESTILO2,Lista 123,Cita Pie de Página,Lista sin Numerar,Cuadro 2-1,Footnote,List Paragraph1,SUBTITU MEMO,Dot pt,No Spacing1,List Paragraph Char Char Char,Ha"/>
    <w:basedOn w:val="Normal"/>
    <w:link w:val="PrrafodelistaCar"/>
    <w:uiPriority w:val="34"/>
    <w:qFormat/>
    <w:rsid w:val="00EA20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4A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0D4"/>
  </w:style>
  <w:style w:type="paragraph" w:styleId="Piedepgina">
    <w:name w:val="footer"/>
    <w:basedOn w:val="Normal"/>
    <w:link w:val="PiedepginaCar"/>
    <w:uiPriority w:val="99"/>
    <w:unhideWhenUsed/>
    <w:rsid w:val="00807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0D4"/>
  </w:style>
  <w:style w:type="character" w:customStyle="1" w:styleId="Ninguno">
    <w:name w:val="Ninguno"/>
    <w:rsid w:val="00996F84"/>
  </w:style>
  <w:style w:type="character" w:styleId="nfasisintenso">
    <w:name w:val="Intense Emphasis"/>
    <w:basedOn w:val="Fuentedeprrafopredeter"/>
    <w:uiPriority w:val="21"/>
    <w:qFormat/>
    <w:rsid w:val="008D7144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8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15C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52918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Paragraph-Thesis Car,TITULO A Car,Titulo de Fígura Car,Fundamentacion Car,Number List 1 Car,N° Car,ESTILO2 Car,Lista 123 Car,Cita Pie de Página Car,Lista sin Numerar Car,Cuadro 2-1 Car,Footnote Car,List Paragraph1 Car,Ha Car"/>
    <w:link w:val="Prrafodelista"/>
    <w:uiPriority w:val="34"/>
    <w:qFormat/>
    <w:locked/>
    <w:rsid w:val="00A4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460-AEB6-4446-91B3-E029C5FC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Vilca, Renzo Mauricio</dc:creator>
  <cp:lastModifiedBy>USUARIO</cp:lastModifiedBy>
  <cp:revision>10</cp:revision>
  <cp:lastPrinted>2021-07-19T21:50:00Z</cp:lastPrinted>
  <dcterms:created xsi:type="dcterms:W3CDTF">2021-09-14T15:05:00Z</dcterms:created>
  <dcterms:modified xsi:type="dcterms:W3CDTF">2021-09-14T16:59:00Z</dcterms:modified>
</cp:coreProperties>
</file>