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E993D" w14:textId="77777777" w:rsidR="0016617D" w:rsidRPr="0016617D" w:rsidRDefault="0016617D" w:rsidP="0016617D">
      <w:pPr>
        <w:pBdr>
          <w:top w:val="nil"/>
          <w:left w:val="nil"/>
          <w:bottom w:val="nil"/>
          <w:right w:val="nil"/>
          <w:between w:val="nil"/>
        </w:pBdr>
        <w:spacing w:after="0" w:line="240" w:lineRule="auto"/>
        <w:jc w:val="center"/>
        <w:rPr>
          <w:rFonts w:ascii="Century Gothic" w:eastAsia="Century Gothic" w:hAnsi="Century Gothic" w:cs="Century Gothic"/>
          <w:b/>
          <w:bCs/>
          <w:color w:val="000000"/>
        </w:rPr>
      </w:pPr>
      <w:bookmarkStart w:id="0" w:name="_gjdgxs" w:colFirst="0" w:colLast="0"/>
      <w:bookmarkEnd w:id="0"/>
      <w:r w:rsidRPr="0016617D">
        <w:rPr>
          <w:rFonts w:ascii="Century Gothic" w:eastAsia="Century Gothic" w:hAnsi="Century Gothic" w:cs="Century Gothic"/>
          <w:b/>
          <w:bCs/>
          <w:color w:val="000000"/>
        </w:rPr>
        <w:t>NOTA DE PRENSA</w:t>
      </w:r>
    </w:p>
    <w:p w14:paraId="0D2969A4" w14:textId="77777777" w:rsidR="0016617D" w:rsidRPr="0016617D" w:rsidRDefault="0016617D" w:rsidP="0016617D">
      <w:pPr>
        <w:pBdr>
          <w:top w:val="nil"/>
          <w:left w:val="nil"/>
          <w:bottom w:val="nil"/>
          <w:right w:val="nil"/>
          <w:between w:val="nil"/>
        </w:pBdr>
        <w:spacing w:after="0" w:line="240" w:lineRule="auto"/>
        <w:jc w:val="both"/>
        <w:rPr>
          <w:rFonts w:ascii="Century Gothic" w:eastAsia="Century Gothic" w:hAnsi="Century Gothic" w:cs="Century Gothic"/>
          <w:color w:val="000000"/>
        </w:rPr>
      </w:pPr>
    </w:p>
    <w:p w14:paraId="08C68010" w14:textId="6CA5B0BB" w:rsidR="0016617D" w:rsidRDefault="0016617D" w:rsidP="0016617D">
      <w:pPr>
        <w:pBdr>
          <w:top w:val="nil"/>
          <w:left w:val="nil"/>
          <w:bottom w:val="nil"/>
          <w:right w:val="nil"/>
          <w:between w:val="nil"/>
        </w:pBdr>
        <w:spacing w:after="0" w:line="240" w:lineRule="auto"/>
        <w:jc w:val="both"/>
        <w:rPr>
          <w:rFonts w:ascii="Century Gothic" w:eastAsia="Century Gothic" w:hAnsi="Century Gothic" w:cs="Century Gothic"/>
          <w:color w:val="000000"/>
        </w:rPr>
      </w:pPr>
      <w:r w:rsidRPr="0016617D">
        <w:rPr>
          <w:rFonts w:ascii="Century Gothic" w:eastAsia="Century Gothic" w:hAnsi="Century Gothic" w:cs="Century Gothic"/>
          <w:color w:val="000000"/>
        </w:rPr>
        <w:t>Conversatorio convocó vía online a más de 140 profesionales, técnicos y productores acuícolas.</w:t>
      </w:r>
    </w:p>
    <w:p w14:paraId="2B79E953" w14:textId="77777777" w:rsidR="0016617D" w:rsidRPr="0016617D" w:rsidRDefault="0016617D" w:rsidP="0016617D">
      <w:pPr>
        <w:pBdr>
          <w:top w:val="nil"/>
          <w:left w:val="nil"/>
          <w:bottom w:val="nil"/>
          <w:right w:val="nil"/>
          <w:between w:val="nil"/>
        </w:pBdr>
        <w:spacing w:after="0" w:line="240" w:lineRule="auto"/>
        <w:jc w:val="both"/>
        <w:rPr>
          <w:rFonts w:ascii="Century Gothic" w:eastAsia="Century Gothic" w:hAnsi="Century Gothic" w:cs="Century Gothic"/>
          <w:color w:val="000000"/>
        </w:rPr>
      </w:pPr>
    </w:p>
    <w:p w14:paraId="422BA43A" w14:textId="091C3B54" w:rsidR="0016617D" w:rsidRPr="0016617D" w:rsidRDefault="00080FA7" w:rsidP="0016617D">
      <w:pPr>
        <w:pBdr>
          <w:top w:val="nil"/>
          <w:left w:val="nil"/>
          <w:bottom w:val="nil"/>
          <w:right w:val="nil"/>
          <w:between w:val="nil"/>
        </w:pBdr>
        <w:spacing w:after="0" w:line="240" w:lineRule="auto"/>
        <w:jc w:val="both"/>
        <w:rPr>
          <w:rFonts w:ascii="Century Gothic" w:eastAsia="Century Gothic" w:hAnsi="Century Gothic" w:cs="Century Gothic"/>
          <w:b/>
          <w:bCs/>
          <w:color w:val="000000"/>
        </w:rPr>
      </w:pPr>
      <w:r w:rsidRPr="0016617D">
        <w:rPr>
          <w:rFonts w:ascii="Century Gothic" w:eastAsia="Century Gothic" w:hAnsi="Century Gothic" w:cs="Century Gothic"/>
          <w:b/>
          <w:bCs/>
          <w:color w:val="000000"/>
        </w:rPr>
        <w:t>ITP: ACUICULTURA DE CONCHA DE ABANICO SE VIENE RECUPERANDO DURANTE EL 2021</w:t>
      </w:r>
    </w:p>
    <w:p w14:paraId="624CC7A6" w14:textId="77777777" w:rsidR="0016617D" w:rsidRPr="0016617D" w:rsidRDefault="0016617D" w:rsidP="0016617D">
      <w:pPr>
        <w:pBdr>
          <w:top w:val="nil"/>
          <w:left w:val="nil"/>
          <w:bottom w:val="nil"/>
          <w:right w:val="nil"/>
          <w:between w:val="nil"/>
        </w:pBdr>
        <w:spacing w:after="0" w:line="240" w:lineRule="auto"/>
        <w:jc w:val="both"/>
        <w:rPr>
          <w:rFonts w:ascii="Century Gothic" w:eastAsia="Century Gothic" w:hAnsi="Century Gothic" w:cs="Century Gothic"/>
          <w:color w:val="000000"/>
        </w:rPr>
      </w:pPr>
    </w:p>
    <w:p w14:paraId="36940DFC" w14:textId="77777777" w:rsidR="0016617D" w:rsidRPr="0016617D" w:rsidRDefault="0016617D" w:rsidP="0016617D">
      <w:pPr>
        <w:pBdr>
          <w:top w:val="nil"/>
          <w:left w:val="nil"/>
          <w:bottom w:val="nil"/>
          <w:right w:val="nil"/>
          <w:between w:val="nil"/>
        </w:pBdr>
        <w:spacing w:after="0" w:line="240" w:lineRule="auto"/>
        <w:jc w:val="both"/>
        <w:rPr>
          <w:rFonts w:ascii="Century Gothic" w:eastAsia="Century Gothic" w:hAnsi="Century Gothic" w:cs="Century Gothic"/>
          <w:color w:val="000000"/>
        </w:rPr>
      </w:pPr>
      <w:r w:rsidRPr="0016617D">
        <w:rPr>
          <w:rFonts w:ascii="Century Gothic" w:eastAsia="Century Gothic" w:hAnsi="Century Gothic" w:cs="Century Gothic"/>
          <w:color w:val="000000"/>
        </w:rPr>
        <w:t xml:space="preserve">En el último semestre del 2021, la cadena productiva de la concha de abanico registró una mejora e incremento en la producción y volúmenes de exportación, ello tras iniciarse la reactivación económica para este sector que venía siendo afectado por la pandemia, informó el director general de Acuicultura, David Mendoza Ramírez, durante el conversatorio virtual “Concha de abanico: Actualidad, retos, oportunidades y tendencias”, organizado por el </w:t>
      </w:r>
      <w:proofErr w:type="spellStart"/>
      <w:r w:rsidRPr="0016617D">
        <w:rPr>
          <w:rFonts w:ascii="Century Gothic" w:eastAsia="Century Gothic" w:hAnsi="Century Gothic" w:cs="Century Gothic"/>
          <w:color w:val="000000"/>
        </w:rPr>
        <w:t>CITEpesquero</w:t>
      </w:r>
      <w:proofErr w:type="spellEnd"/>
      <w:r w:rsidRPr="0016617D">
        <w:rPr>
          <w:rFonts w:ascii="Century Gothic" w:eastAsia="Century Gothic" w:hAnsi="Century Gothic" w:cs="Century Gothic"/>
          <w:color w:val="000000"/>
        </w:rPr>
        <w:t xml:space="preserve"> Piura. </w:t>
      </w:r>
    </w:p>
    <w:p w14:paraId="68E95EDA" w14:textId="77777777" w:rsidR="0016617D" w:rsidRPr="0016617D" w:rsidRDefault="0016617D" w:rsidP="0016617D">
      <w:pPr>
        <w:pBdr>
          <w:top w:val="nil"/>
          <w:left w:val="nil"/>
          <w:bottom w:val="nil"/>
          <w:right w:val="nil"/>
          <w:between w:val="nil"/>
        </w:pBdr>
        <w:spacing w:after="0" w:line="240" w:lineRule="auto"/>
        <w:jc w:val="both"/>
        <w:rPr>
          <w:rFonts w:ascii="Century Gothic" w:eastAsia="Century Gothic" w:hAnsi="Century Gothic" w:cs="Century Gothic"/>
          <w:color w:val="000000"/>
        </w:rPr>
      </w:pPr>
    </w:p>
    <w:p w14:paraId="5BE8B705" w14:textId="77777777" w:rsidR="0016617D" w:rsidRPr="0016617D" w:rsidRDefault="0016617D" w:rsidP="0016617D">
      <w:pPr>
        <w:pBdr>
          <w:top w:val="nil"/>
          <w:left w:val="nil"/>
          <w:bottom w:val="nil"/>
          <w:right w:val="nil"/>
          <w:between w:val="nil"/>
        </w:pBdr>
        <w:spacing w:after="0" w:line="240" w:lineRule="auto"/>
        <w:jc w:val="both"/>
        <w:rPr>
          <w:rFonts w:ascii="Century Gothic" w:eastAsia="Century Gothic" w:hAnsi="Century Gothic" w:cs="Century Gothic"/>
          <w:color w:val="000000"/>
        </w:rPr>
      </w:pPr>
      <w:r w:rsidRPr="0016617D">
        <w:rPr>
          <w:rFonts w:ascii="Century Gothic" w:eastAsia="Century Gothic" w:hAnsi="Century Gothic" w:cs="Century Gothic"/>
          <w:color w:val="000000"/>
        </w:rPr>
        <w:t xml:space="preserve">“El desempeño de la concha de abanico ha mejorado considerablemente el último semestre del 2021 en comparación con el semestre del año pasado, según la información culminada por la Oficina General de Evaluación de Impacto y Estudios Económicos (OGEIEE) del Ministerio de la Producción”, señaló Mendoza Ramírez. </w:t>
      </w:r>
    </w:p>
    <w:p w14:paraId="09C23541" w14:textId="77777777" w:rsidR="0016617D" w:rsidRPr="0016617D" w:rsidRDefault="0016617D" w:rsidP="0016617D">
      <w:pPr>
        <w:pBdr>
          <w:top w:val="nil"/>
          <w:left w:val="nil"/>
          <w:bottom w:val="nil"/>
          <w:right w:val="nil"/>
          <w:between w:val="nil"/>
        </w:pBdr>
        <w:spacing w:after="0" w:line="240" w:lineRule="auto"/>
        <w:jc w:val="both"/>
        <w:rPr>
          <w:rFonts w:ascii="Century Gothic" w:eastAsia="Century Gothic" w:hAnsi="Century Gothic" w:cs="Century Gothic"/>
          <w:color w:val="000000"/>
        </w:rPr>
      </w:pPr>
    </w:p>
    <w:p w14:paraId="7A81AA71" w14:textId="77777777" w:rsidR="0016617D" w:rsidRPr="0016617D" w:rsidRDefault="0016617D" w:rsidP="0016617D">
      <w:pPr>
        <w:pBdr>
          <w:top w:val="nil"/>
          <w:left w:val="nil"/>
          <w:bottom w:val="nil"/>
          <w:right w:val="nil"/>
          <w:between w:val="nil"/>
        </w:pBdr>
        <w:spacing w:after="0" w:line="240" w:lineRule="auto"/>
        <w:jc w:val="both"/>
        <w:rPr>
          <w:rFonts w:ascii="Century Gothic" w:eastAsia="Century Gothic" w:hAnsi="Century Gothic" w:cs="Century Gothic"/>
          <w:color w:val="000000"/>
        </w:rPr>
      </w:pPr>
      <w:r w:rsidRPr="0016617D">
        <w:rPr>
          <w:rFonts w:ascii="Century Gothic" w:eastAsia="Century Gothic" w:hAnsi="Century Gothic" w:cs="Century Gothic"/>
          <w:color w:val="000000"/>
        </w:rPr>
        <w:t xml:space="preserve">Por su parte, el director del </w:t>
      </w:r>
      <w:proofErr w:type="spellStart"/>
      <w:r w:rsidRPr="0016617D">
        <w:rPr>
          <w:rFonts w:ascii="Century Gothic" w:eastAsia="Century Gothic" w:hAnsi="Century Gothic" w:cs="Century Gothic"/>
          <w:color w:val="000000"/>
        </w:rPr>
        <w:t>CITEpesquero</w:t>
      </w:r>
      <w:proofErr w:type="spellEnd"/>
      <w:r w:rsidRPr="0016617D">
        <w:rPr>
          <w:rFonts w:ascii="Century Gothic" w:eastAsia="Century Gothic" w:hAnsi="Century Gothic" w:cs="Century Gothic"/>
          <w:color w:val="000000"/>
        </w:rPr>
        <w:t xml:space="preserve"> Piura, William Rivera Peña, señaló que es evidente el crecimiento de esta cadena productiva tanto en el desempeño productivo como comercial.</w:t>
      </w:r>
    </w:p>
    <w:p w14:paraId="5B74BB38" w14:textId="77777777" w:rsidR="0016617D" w:rsidRPr="0016617D" w:rsidRDefault="0016617D" w:rsidP="0016617D">
      <w:pPr>
        <w:pBdr>
          <w:top w:val="nil"/>
          <w:left w:val="nil"/>
          <w:bottom w:val="nil"/>
          <w:right w:val="nil"/>
          <w:between w:val="nil"/>
        </w:pBdr>
        <w:spacing w:after="0" w:line="240" w:lineRule="auto"/>
        <w:jc w:val="both"/>
        <w:rPr>
          <w:rFonts w:ascii="Century Gothic" w:eastAsia="Century Gothic" w:hAnsi="Century Gothic" w:cs="Century Gothic"/>
          <w:color w:val="000000"/>
        </w:rPr>
      </w:pPr>
    </w:p>
    <w:p w14:paraId="283F2B16" w14:textId="77777777" w:rsidR="0016617D" w:rsidRPr="0016617D" w:rsidRDefault="0016617D" w:rsidP="0016617D">
      <w:pPr>
        <w:pBdr>
          <w:top w:val="nil"/>
          <w:left w:val="nil"/>
          <w:bottom w:val="nil"/>
          <w:right w:val="nil"/>
          <w:between w:val="nil"/>
        </w:pBdr>
        <w:spacing w:after="0" w:line="240" w:lineRule="auto"/>
        <w:jc w:val="both"/>
        <w:rPr>
          <w:rFonts w:ascii="Century Gothic" w:eastAsia="Century Gothic" w:hAnsi="Century Gothic" w:cs="Century Gothic"/>
          <w:color w:val="000000"/>
        </w:rPr>
      </w:pPr>
      <w:r w:rsidRPr="0016617D">
        <w:rPr>
          <w:rFonts w:ascii="Century Gothic" w:eastAsia="Century Gothic" w:hAnsi="Century Gothic" w:cs="Century Gothic"/>
          <w:color w:val="000000"/>
        </w:rPr>
        <w:t xml:space="preserve">“Desde el </w:t>
      </w:r>
      <w:proofErr w:type="spellStart"/>
      <w:r w:rsidRPr="0016617D">
        <w:rPr>
          <w:rFonts w:ascii="Century Gothic" w:eastAsia="Century Gothic" w:hAnsi="Century Gothic" w:cs="Century Gothic"/>
          <w:color w:val="000000"/>
        </w:rPr>
        <w:t>CITEpesquero</w:t>
      </w:r>
      <w:proofErr w:type="spellEnd"/>
      <w:r w:rsidRPr="0016617D">
        <w:rPr>
          <w:rFonts w:ascii="Century Gothic" w:eastAsia="Century Gothic" w:hAnsi="Century Gothic" w:cs="Century Gothic"/>
          <w:color w:val="000000"/>
        </w:rPr>
        <w:t xml:space="preserve"> venimos apoyando a los productores acuícolas con capacitaciones, asistencias técnicas e incluso articulando para que las Organizaciones Sociales de Pescadores Artesanales (</w:t>
      </w:r>
      <w:proofErr w:type="spellStart"/>
      <w:r w:rsidRPr="0016617D">
        <w:rPr>
          <w:rFonts w:ascii="Century Gothic" w:eastAsia="Century Gothic" w:hAnsi="Century Gothic" w:cs="Century Gothic"/>
          <w:color w:val="000000"/>
        </w:rPr>
        <w:t>OSPAs</w:t>
      </w:r>
      <w:proofErr w:type="spellEnd"/>
      <w:r w:rsidRPr="0016617D">
        <w:rPr>
          <w:rFonts w:ascii="Century Gothic" w:eastAsia="Century Gothic" w:hAnsi="Century Gothic" w:cs="Century Gothic"/>
          <w:color w:val="000000"/>
        </w:rPr>
        <w:t>) logren la exportación directa”, manifestó.</w:t>
      </w:r>
    </w:p>
    <w:p w14:paraId="1A64B95F" w14:textId="77777777" w:rsidR="0016617D" w:rsidRPr="0016617D" w:rsidRDefault="0016617D" w:rsidP="0016617D">
      <w:pPr>
        <w:pBdr>
          <w:top w:val="nil"/>
          <w:left w:val="nil"/>
          <w:bottom w:val="nil"/>
          <w:right w:val="nil"/>
          <w:between w:val="nil"/>
        </w:pBdr>
        <w:spacing w:after="0" w:line="240" w:lineRule="auto"/>
        <w:jc w:val="both"/>
        <w:rPr>
          <w:rFonts w:ascii="Century Gothic" w:eastAsia="Century Gothic" w:hAnsi="Century Gothic" w:cs="Century Gothic"/>
          <w:color w:val="000000"/>
        </w:rPr>
      </w:pPr>
    </w:p>
    <w:p w14:paraId="252824D7" w14:textId="77777777" w:rsidR="0016617D" w:rsidRPr="0016617D" w:rsidRDefault="0016617D" w:rsidP="0016617D">
      <w:pPr>
        <w:pBdr>
          <w:top w:val="nil"/>
          <w:left w:val="nil"/>
          <w:bottom w:val="nil"/>
          <w:right w:val="nil"/>
          <w:between w:val="nil"/>
        </w:pBdr>
        <w:spacing w:after="0" w:line="240" w:lineRule="auto"/>
        <w:jc w:val="both"/>
        <w:rPr>
          <w:rFonts w:ascii="Century Gothic" w:eastAsia="Century Gothic" w:hAnsi="Century Gothic" w:cs="Century Gothic"/>
          <w:color w:val="000000"/>
        </w:rPr>
      </w:pPr>
      <w:r w:rsidRPr="0016617D">
        <w:rPr>
          <w:rFonts w:ascii="Century Gothic" w:eastAsia="Century Gothic" w:hAnsi="Century Gothic" w:cs="Century Gothic"/>
          <w:color w:val="000000"/>
        </w:rPr>
        <w:t xml:space="preserve">De acuerdo a las cifras estadísticas, en el primer semestre del 2021 en términos de cosecha, la producción de este molusco bivalvo se incrementó en 136% con 31.327 mil toneladas (concha entera con valva); en comparación con el semestre del 2020 donde se cosechó 13,278 toneladas. </w:t>
      </w:r>
    </w:p>
    <w:p w14:paraId="101A0FD8" w14:textId="77777777" w:rsidR="0016617D" w:rsidRPr="0016617D" w:rsidRDefault="0016617D" w:rsidP="0016617D">
      <w:pPr>
        <w:pBdr>
          <w:top w:val="nil"/>
          <w:left w:val="nil"/>
          <w:bottom w:val="nil"/>
          <w:right w:val="nil"/>
          <w:between w:val="nil"/>
        </w:pBdr>
        <w:spacing w:after="0" w:line="240" w:lineRule="auto"/>
        <w:jc w:val="both"/>
        <w:rPr>
          <w:rFonts w:ascii="Century Gothic" w:eastAsia="Century Gothic" w:hAnsi="Century Gothic" w:cs="Century Gothic"/>
          <w:color w:val="000000"/>
        </w:rPr>
      </w:pPr>
    </w:p>
    <w:p w14:paraId="52DE8CBC" w14:textId="77777777" w:rsidR="0016617D" w:rsidRPr="0016617D" w:rsidRDefault="0016617D" w:rsidP="0016617D">
      <w:pPr>
        <w:pBdr>
          <w:top w:val="nil"/>
          <w:left w:val="nil"/>
          <w:bottom w:val="nil"/>
          <w:right w:val="nil"/>
          <w:between w:val="nil"/>
        </w:pBdr>
        <w:spacing w:after="0" w:line="240" w:lineRule="auto"/>
        <w:jc w:val="both"/>
        <w:rPr>
          <w:rFonts w:ascii="Century Gothic" w:eastAsia="Century Gothic" w:hAnsi="Century Gothic" w:cs="Century Gothic"/>
          <w:color w:val="000000"/>
        </w:rPr>
      </w:pPr>
      <w:r w:rsidRPr="0016617D">
        <w:rPr>
          <w:rFonts w:ascii="Century Gothic" w:eastAsia="Century Gothic" w:hAnsi="Century Gothic" w:cs="Century Gothic"/>
          <w:color w:val="000000"/>
        </w:rPr>
        <w:t>En cuanto al volumen exportado se tiene que la producción aumentó en 95% alcanzando las 7,587 TN a diferencia del año pasado donde se registró 3.8.</w:t>
      </w:r>
    </w:p>
    <w:p w14:paraId="3EC9FC23" w14:textId="77777777" w:rsidR="0016617D" w:rsidRPr="0016617D" w:rsidRDefault="0016617D" w:rsidP="0016617D">
      <w:pPr>
        <w:pBdr>
          <w:top w:val="nil"/>
          <w:left w:val="nil"/>
          <w:bottom w:val="nil"/>
          <w:right w:val="nil"/>
          <w:between w:val="nil"/>
        </w:pBdr>
        <w:spacing w:after="0" w:line="240" w:lineRule="auto"/>
        <w:jc w:val="both"/>
        <w:rPr>
          <w:rFonts w:ascii="Century Gothic" w:eastAsia="Century Gothic" w:hAnsi="Century Gothic" w:cs="Century Gothic"/>
          <w:color w:val="000000"/>
        </w:rPr>
      </w:pPr>
    </w:p>
    <w:p w14:paraId="65DA9D82" w14:textId="77777777" w:rsidR="0016617D" w:rsidRPr="0016617D" w:rsidRDefault="0016617D" w:rsidP="0016617D">
      <w:pPr>
        <w:pBdr>
          <w:top w:val="nil"/>
          <w:left w:val="nil"/>
          <w:bottom w:val="nil"/>
          <w:right w:val="nil"/>
          <w:between w:val="nil"/>
        </w:pBdr>
        <w:spacing w:after="0" w:line="240" w:lineRule="auto"/>
        <w:jc w:val="both"/>
        <w:rPr>
          <w:rFonts w:ascii="Century Gothic" w:eastAsia="Century Gothic" w:hAnsi="Century Gothic" w:cs="Century Gothic"/>
          <w:color w:val="000000"/>
        </w:rPr>
      </w:pPr>
      <w:r w:rsidRPr="0016617D">
        <w:rPr>
          <w:rFonts w:ascii="Century Gothic" w:eastAsia="Century Gothic" w:hAnsi="Century Gothic" w:cs="Century Gothic"/>
          <w:color w:val="000000"/>
        </w:rPr>
        <w:t xml:space="preserve">Asimismo, en los últimos seis meses del presente año, el valor de las exportaciones de la concha de abanico alcanzó los 61 millones de dólares que representa el 140% de incremento, en referencia con el semestre del año pasado, que reportó 25 millones de dólares. </w:t>
      </w:r>
    </w:p>
    <w:p w14:paraId="0ED9796B" w14:textId="77777777" w:rsidR="0016617D" w:rsidRPr="0016617D" w:rsidRDefault="0016617D" w:rsidP="0016617D">
      <w:pPr>
        <w:pBdr>
          <w:top w:val="nil"/>
          <w:left w:val="nil"/>
          <w:bottom w:val="nil"/>
          <w:right w:val="nil"/>
          <w:between w:val="nil"/>
        </w:pBdr>
        <w:spacing w:after="0" w:line="240" w:lineRule="auto"/>
        <w:jc w:val="both"/>
        <w:rPr>
          <w:rFonts w:ascii="Century Gothic" w:eastAsia="Century Gothic" w:hAnsi="Century Gothic" w:cs="Century Gothic"/>
          <w:color w:val="000000"/>
        </w:rPr>
      </w:pPr>
    </w:p>
    <w:p w14:paraId="4813B4A5" w14:textId="77777777" w:rsidR="0016617D" w:rsidRPr="0016617D" w:rsidRDefault="0016617D" w:rsidP="0016617D">
      <w:pPr>
        <w:pBdr>
          <w:top w:val="nil"/>
          <w:left w:val="nil"/>
          <w:bottom w:val="nil"/>
          <w:right w:val="nil"/>
          <w:between w:val="nil"/>
        </w:pBdr>
        <w:spacing w:after="0" w:line="240" w:lineRule="auto"/>
        <w:jc w:val="both"/>
        <w:rPr>
          <w:rFonts w:ascii="Century Gothic" w:eastAsia="Century Gothic" w:hAnsi="Century Gothic" w:cs="Century Gothic"/>
          <w:color w:val="000000"/>
        </w:rPr>
      </w:pPr>
      <w:r w:rsidRPr="0016617D">
        <w:rPr>
          <w:rFonts w:ascii="Century Gothic" w:eastAsia="Century Gothic" w:hAnsi="Century Gothic" w:cs="Century Gothic"/>
          <w:color w:val="000000"/>
        </w:rPr>
        <w:t>Cabe precisar que la cadena productiva de la concha de abanico es una de las principales actividades de la acuicultura peruana, siendo la bahía de Sechura, en la región Piura, la zona de mayor producción nacional de moluscos bivalvos, representando entre el 70 y 80% de la producción nacional.</w:t>
      </w:r>
    </w:p>
    <w:p w14:paraId="3705EF50" w14:textId="77777777" w:rsidR="0016617D" w:rsidRPr="0016617D" w:rsidRDefault="0016617D" w:rsidP="0016617D">
      <w:pPr>
        <w:pBdr>
          <w:top w:val="nil"/>
          <w:left w:val="nil"/>
          <w:bottom w:val="nil"/>
          <w:right w:val="nil"/>
          <w:between w:val="nil"/>
        </w:pBdr>
        <w:spacing w:after="0" w:line="240" w:lineRule="auto"/>
        <w:jc w:val="both"/>
        <w:rPr>
          <w:rFonts w:ascii="Century Gothic" w:eastAsia="Century Gothic" w:hAnsi="Century Gothic" w:cs="Century Gothic"/>
          <w:color w:val="000000"/>
        </w:rPr>
      </w:pPr>
    </w:p>
    <w:p w14:paraId="79BAB3F0" w14:textId="77777777" w:rsidR="0016617D" w:rsidRPr="0016617D" w:rsidRDefault="0016617D" w:rsidP="0016617D">
      <w:pPr>
        <w:pBdr>
          <w:top w:val="nil"/>
          <w:left w:val="nil"/>
          <w:bottom w:val="nil"/>
          <w:right w:val="nil"/>
          <w:between w:val="nil"/>
        </w:pBdr>
        <w:spacing w:after="0" w:line="240" w:lineRule="auto"/>
        <w:jc w:val="both"/>
        <w:rPr>
          <w:rFonts w:ascii="Century Gothic" w:eastAsia="Century Gothic" w:hAnsi="Century Gothic" w:cs="Century Gothic"/>
          <w:color w:val="000000"/>
        </w:rPr>
      </w:pPr>
      <w:r w:rsidRPr="0016617D">
        <w:rPr>
          <w:rFonts w:ascii="Century Gothic" w:eastAsia="Century Gothic" w:hAnsi="Century Gothic" w:cs="Century Gothic"/>
          <w:color w:val="000000"/>
        </w:rPr>
        <w:t>Datos</w:t>
      </w:r>
    </w:p>
    <w:p w14:paraId="0A960344" w14:textId="77777777" w:rsidR="0016617D" w:rsidRPr="0016617D" w:rsidRDefault="0016617D" w:rsidP="0016617D">
      <w:pPr>
        <w:pBdr>
          <w:top w:val="nil"/>
          <w:left w:val="nil"/>
          <w:bottom w:val="nil"/>
          <w:right w:val="nil"/>
          <w:between w:val="nil"/>
        </w:pBdr>
        <w:spacing w:after="0" w:line="240" w:lineRule="auto"/>
        <w:jc w:val="both"/>
        <w:rPr>
          <w:rFonts w:ascii="Century Gothic" w:eastAsia="Century Gothic" w:hAnsi="Century Gothic" w:cs="Century Gothic"/>
          <w:color w:val="000000"/>
        </w:rPr>
      </w:pPr>
      <w:r w:rsidRPr="0016617D">
        <w:rPr>
          <w:rFonts w:ascii="Century Gothic" w:eastAsia="Century Gothic" w:hAnsi="Century Gothic" w:cs="Century Gothic"/>
          <w:color w:val="000000"/>
        </w:rPr>
        <w:lastRenderedPageBreak/>
        <w:t>El destino de las exportaciones de concha de abanico fueron Estados Unidos, Francia, Canadá, España, Chile, Italia, Reino Unido, Australia, Nueva Zelanda, Brasil y Rusia.</w:t>
      </w:r>
    </w:p>
    <w:p w14:paraId="3807EB98" w14:textId="77777777" w:rsidR="0016617D" w:rsidRPr="0016617D" w:rsidRDefault="0016617D" w:rsidP="0016617D">
      <w:pPr>
        <w:pBdr>
          <w:top w:val="nil"/>
          <w:left w:val="nil"/>
          <w:bottom w:val="nil"/>
          <w:right w:val="nil"/>
          <w:between w:val="nil"/>
        </w:pBdr>
        <w:spacing w:after="0" w:line="240" w:lineRule="auto"/>
        <w:jc w:val="both"/>
        <w:rPr>
          <w:rFonts w:ascii="Century Gothic" w:eastAsia="Century Gothic" w:hAnsi="Century Gothic" w:cs="Century Gothic"/>
          <w:color w:val="000000"/>
        </w:rPr>
      </w:pPr>
    </w:p>
    <w:p w14:paraId="46C8D37B" w14:textId="22E60049" w:rsidR="009031A3" w:rsidRDefault="0016617D" w:rsidP="0016617D">
      <w:pPr>
        <w:pBdr>
          <w:top w:val="nil"/>
          <w:left w:val="nil"/>
          <w:bottom w:val="nil"/>
          <w:right w:val="nil"/>
          <w:between w:val="nil"/>
        </w:pBdr>
        <w:spacing w:after="0" w:line="240" w:lineRule="auto"/>
        <w:jc w:val="both"/>
        <w:rPr>
          <w:rFonts w:ascii="Century Gothic" w:eastAsia="Century Gothic" w:hAnsi="Century Gothic" w:cs="Century Gothic"/>
          <w:color w:val="000000"/>
        </w:rPr>
      </w:pPr>
      <w:r w:rsidRPr="0016617D">
        <w:rPr>
          <w:rFonts w:ascii="Century Gothic" w:eastAsia="Century Gothic" w:hAnsi="Century Gothic" w:cs="Century Gothic"/>
          <w:color w:val="000000"/>
        </w:rPr>
        <w:t>A nivel nacional existen 380 concesiones vigentes, de las cuales 58% son AMYGE (Acuicultura de Mediana y Gran Empresa) y 42% son AMYPE (Acuicultura de Micro y Pequeña Empresa).</w:t>
      </w:r>
    </w:p>
    <w:p w14:paraId="2165F512" w14:textId="39557542" w:rsidR="009031A3" w:rsidRDefault="00E15FD7">
      <w:pPr>
        <w:pBdr>
          <w:top w:val="nil"/>
          <w:left w:val="nil"/>
          <w:bottom w:val="nil"/>
          <w:right w:val="nil"/>
          <w:between w:val="nil"/>
        </w:pBdr>
        <w:spacing w:after="0" w:line="240" w:lineRule="auto"/>
        <w:ind w:left="5040"/>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        Piura, </w:t>
      </w:r>
      <w:r w:rsidR="0016617D">
        <w:rPr>
          <w:rFonts w:ascii="Century Gothic" w:eastAsia="Century Gothic" w:hAnsi="Century Gothic" w:cs="Century Gothic"/>
          <w:b/>
          <w:color w:val="000000"/>
        </w:rPr>
        <w:t>12</w:t>
      </w:r>
      <w:r>
        <w:rPr>
          <w:rFonts w:ascii="Century Gothic" w:eastAsia="Century Gothic" w:hAnsi="Century Gothic" w:cs="Century Gothic"/>
          <w:b/>
          <w:color w:val="000000"/>
        </w:rPr>
        <w:t xml:space="preserve"> de </w:t>
      </w:r>
      <w:r w:rsidR="0016617D">
        <w:rPr>
          <w:rFonts w:ascii="Century Gothic" w:eastAsia="Century Gothic" w:hAnsi="Century Gothic" w:cs="Century Gothic"/>
          <w:b/>
          <w:color w:val="000000"/>
        </w:rPr>
        <w:t>octubre</w:t>
      </w:r>
      <w:r>
        <w:rPr>
          <w:rFonts w:ascii="Century Gothic" w:eastAsia="Century Gothic" w:hAnsi="Century Gothic" w:cs="Century Gothic"/>
          <w:b/>
          <w:color w:val="000000"/>
        </w:rPr>
        <w:t xml:space="preserve"> 2021</w:t>
      </w:r>
    </w:p>
    <w:p w14:paraId="5F776FC8" w14:textId="77777777" w:rsidR="009031A3" w:rsidRDefault="009031A3">
      <w:pPr>
        <w:pBdr>
          <w:top w:val="nil"/>
          <w:left w:val="nil"/>
          <w:bottom w:val="nil"/>
          <w:right w:val="nil"/>
          <w:between w:val="nil"/>
        </w:pBdr>
        <w:spacing w:after="0" w:line="240" w:lineRule="auto"/>
        <w:jc w:val="both"/>
        <w:rPr>
          <w:rFonts w:ascii="Century Gothic" w:eastAsia="Century Gothic" w:hAnsi="Century Gothic" w:cs="Century Gothic"/>
          <w:color w:val="000000"/>
        </w:rPr>
      </w:pPr>
    </w:p>
    <w:sectPr w:rsidR="009031A3">
      <w:headerReference w:type="default" r:id="rId7"/>
      <w:footerReference w:type="default" r:id="rId8"/>
      <w:pgSz w:w="11906" w:h="16838"/>
      <w:pgMar w:top="1135" w:right="1701" w:bottom="1134" w:left="1701" w:header="708"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B1C3B" w14:textId="77777777" w:rsidR="005B4888" w:rsidRDefault="005B4888">
      <w:pPr>
        <w:spacing w:after="0" w:line="240" w:lineRule="auto"/>
      </w:pPr>
      <w:r>
        <w:separator/>
      </w:r>
    </w:p>
  </w:endnote>
  <w:endnote w:type="continuationSeparator" w:id="0">
    <w:p w14:paraId="32C9F9A8" w14:textId="77777777" w:rsidR="005B4888" w:rsidRDefault="005B4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FEC08" w14:textId="77777777" w:rsidR="009031A3" w:rsidRDefault="00E15FD7">
    <w:pPr>
      <w:pBdr>
        <w:top w:val="nil"/>
        <w:left w:val="nil"/>
        <w:bottom w:val="nil"/>
        <w:right w:val="nil"/>
        <w:between w:val="nil"/>
      </w:pBdr>
      <w:spacing w:after="0" w:line="240" w:lineRule="auto"/>
      <w:jc w:val="center"/>
      <w:rPr>
        <w:color w:val="595959"/>
        <w:sz w:val="14"/>
        <w:szCs w:val="14"/>
      </w:rPr>
    </w:pPr>
    <w:r>
      <w:rPr>
        <w:color w:val="595959"/>
        <w:sz w:val="14"/>
        <w:szCs w:val="14"/>
      </w:rPr>
      <w:t>Instituto Tecnológico de la Producción | Av. República de Panamá 3418 - San Isidro, Perú | T. (511) 577-0116, 577-0118 |</w:t>
    </w:r>
    <w:r>
      <w:rPr>
        <w:color w:val="FF0000"/>
        <w:sz w:val="14"/>
        <w:szCs w:val="14"/>
      </w:rPr>
      <w:t xml:space="preserve"> </w:t>
    </w:r>
    <w:r>
      <w:rPr>
        <w:color w:val="595959"/>
        <w:sz w:val="14"/>
        <w:szCs w:val="14"/>
      </w:rPr>
      <w:t>www.itp.gob.pe</w:t>
    </w:r>
  </w:p>
  <w:p w14:paraId="378EBEA1" w14:textId="77777777" w:rsidR="009031A3" w:rsidRDefault="009031A3">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217A2" w14:textId="77777777" w:rsidR="005B4888" w:rsidRDefault="005B4888">
      <w:pPr>
        <w:spacing w:after="0" w:line="240" w:lineRule="auto"/>
      </w:pPr>
      <w:r>
        <w:separator/>
      </w:r>
    </w:p>
  </w:footnote>
  <w:footnote w:type="continuationSeparator" w:id="0">
    <w:p w14:paraId="21592824" w14:textId="77777777" w:rsidR="005B4888" w:rsidRDefault="005B48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95533" w14:textId="77777777" w:rsidR="009031A3" w:rsidRDefault="00E15FD7">
    <w:pPr>
      <w:tabs>
        <w:tab w:val="center" w:pos="4252"/>
        <w:tab w:val="right" w:pos="8504"/>
      </w:tabs>
      <w:spacing w:after="0" w:line="240" w:lineRule="auto"/>
      <w:jc w:val="both"/>
      <w:rPr>
        <w:rFonts w:ascii="Times New Roman" w:eastAsia="Times New Roman" w:hAnsi="Times New Roman" w:cs="Times New Roman"/>
        <w:sz w:val="24"/>
        <w:szCs w:val="24"/>
      </w:rPr>
    </w:pPr>
    <w:r>
      <w:rPr>
        <w:noProof/>
      </w:rPr>
      <w:drawing>
        <wp:anchor distT="0" distB="0" distL="0" distR="0" simplePos="0" relativeHeight="251658240" behindDoc="0" locked="0" layoutInCell="1" hidden="0" allowOverlap="1" wp14:anchorId="24FB141C" wp14:editId="4F3F388F">
          <wp:simplePos x="0" y="0"/>
          <wp:positionH relativeFrom="column">
            <wp:posOffset>-342897</wp:posOffset>
          </wp:positionH>
          <wp:positionV relativeFrom="paragraph">
            <wp:posOffset>-234946</wp:posOffset>
          </wp:positionV>
          <wp:extent cx="2186940" cy="44259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86940" cy="44259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47699D3E" wp14:editId="39C21E74">
          <wp:simplePos x="0" y="0"/>
          <wp:positionH relativeFrom="column">
            <wp:posOffset>4681220</wp:posOffset>
          </wp:positionH>
          <wp:positionV relativeFrom="paragraph">
            <wp:posOffset>-403857</wp:posOffset>
          </wp:positionV>
          <wp:extent cx="1714500" cy="845820"/>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714500" cy="845820"/>
                  </a:xfrm>
                  <a:prstGeom prst="rect">
                    <a:avLst/>
                  </a:prstGeom>
                  <a:ln/>
                </pic:spPr>
              </pic:pic>
            </a:graphicData>
          </a:graphic>
        </wp:anchor>
      </w:drawing>
    </w:r>
  </w:p>
  <w:p w14:paraId="3A864EF5" w14:textId="77777777" w:rsidR="009031A3" w:rsidRDefault="00E15FD7">
    <w:pPr>
      <w:pBdr>
        <w:top w:val="nil"/>
        <w:left w:val="nil"/>
        <w:bottom w:val="nil"/>
        <w:right w:val="nil"/>
        <w:between w:val="nil"/>
      </w:pBdr>
      <w:spacing w:after="0" w:line="240" w:lineRule="auto"/>
      <w:jc w:val="both"/>
      <w:rPr>
        <w:color w:val="000000"/>
      </w:rPr>
    </w:pPr>
    <w:r>
      <w:rPr>
        <w:noProof/>
      </w:rPr>
      <mc:AlternateContent>
        <mc:Choice Requires="wps">
          <w:drawing>
            <wp:anchor distT="0" distB="0" distL="114300" distR="114300" simplePos="0" relativeHeight="251660288" behindDoc="0" locked="0" layoutInCell="1" hidden="0" allowOverlap="1" wp14:anchorId="67171431" wp14:editId="7B6E83A6">
              <wp:simplePos x="0" y="0"/>
              <wp:positionH relativeFrom="column">
                <wp:posOffset>-901696</wp:posOffset>
              </wp:positionH>
              <wp:positionV relativeFrom="paragraph">
                <wp:posOffset>127000</wp:posOffset>
              </wp:positionV>
              <wp:extent cx="7581900" cy="216039"/>
              <wp:effectExtent l="0" t="0" r="0" b="0"/>
              <wp:wrapNone/>
              <wp:docPr id="1" name="Rectángulo 1"/>
              <wp:cNvGraphicFramePr/>
              <a:graphic xmlns:a="http://schemas.openxmlformats.org/drawingml/2006/main">
                <a:graphicData uri="http://schemas.microsoft.com/office/word/2010/wordprocessingShape">
                  <wps:wsp>
                    <wps:cNvSpPr/>
                    <wps:spPr>
                      <a:xfrm>
                        <a:off x="0" y="0"/>
                        <a:ext cx="7581900" cy="216039"/>
                      </a:xfrm>
                      <a:prstGeom prst="rect">
                        <a:avLst/>
                      </a:prstGeom>
                      <a:noFill/>
                      <a:ln>
                        <a:noFill/>
                      </a:ln>
                    </wps:spPr>
                    <wps:txbx>
                      <w:txbxContent>
                        <w:p w14:paraId="59BD6E11" w14:textId="77777777" w:rsidR="00F3241D" w:rsidRDefault="005B488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7171431" id="Rectángulo 1" o:spid="_x0000_s1026" style="position:absolute;left:0;text-align:left;margin-left:-71pt;margin-top:10pt;width:597pt;height:1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00cyAEAAHgDAAAOAAAAZHJzL2Uyb0RvYy54bWysU1tu2zAQ/C+QOxD8jyW5TRoLloMigYsC&#10;QWskzQFoirQI8JUlbcnH6Vl6sS4p1XGbv6I/NHe5np2ZXS1vB6PJQUBQzja0mpWUCMtdq+yuoc/f&#10;15c3lITIbMu0s6KhRxHo7eri3bL3tZi7zulWAEEQG+reN7SL0ddFEXgnDAsz54XFR+nAsIgh7IoW&#10;WI/oRhfzsrwuegetB8dFCJi9Hx/pKuNLKXj8JmUQkeiGIreYT8jnNp3FasnqHTDfKT7RYP/AwjBl&#10;sekJ6p5FRvag3kAZxcEFJ+OMO1M4KRUXWQOqqcq/1Dx1zIusBc0J/mRT+H+w/OthA0S1ODtKLDM4&#10;okc07ecPu9trR6pkUO9DjXVPfgNTFPCa1A4STPpFHWTIph5PpoohEo7Jj1c31aJE7zm+zavr8v0i&#10;gRav//YQ4mfhDEmXhgL2z16yw0OIY+nvktTMurXSGvOs1vaPBGKmTJEIjxTTLQ7bYeK9de0R5QbP&#10;1wp7PbAQNwxw4Ci+xyVoaHjZMxCU6C8WXV5UH+ZXuDXnAZwH2/OAWd453C0egZIxuIt510aWn/bR&#10;SZUVJV4jmYkujjd7Mq1i2p/zOFe9fjCrXwAAAP//AwBQSwMEFAAGAAgAAAAhADGEpx7dAAAACwEA&#10;AA8AAABkcnMvZG93bnJldi54bWxMj8FOwzAQRO9I/IO1SNxau1FaQcimAgQHOEHKB2ziJY6I7RC7&#10;bfh7nBMcd3Y086bcz3YQJ55C7x3CZq1AsGu97l2H8HF4Xt2ACJGcpsE7RvjhAPvq8qKkQvuze+dT&#10;HTuRQlwoCMHEOBZShtawpbD2I7v0+/STpZjOqZN6onMKt4PMlNpJS71LDYZGfjTcftVHi/CWe86e&#10;svBQd/bWzM3h9eWbdojXV/P9HYjIc/wzw4Kf0KFKTI0/Oh3EgLDa5FkaExFSD4jFobaL0iBscwWy&#10;KuX/DdUvAAAA//8DAFBLAQItABQABgAIAAAAIQC2gziS/gAAAOEBAAATAAAAAAAAAAAAAAAAAAAA&#10;AABbQ29udGVudF9UeXBlc10ueG1sUEsBAi0AFAAGAAgAAAAhADj9If/WAAAAlAEAAAsAAAAAAAAA&#10;AAAAAAAALwEAAF9yZWxzLy5yZWxzUEsBAi0AFAAGAAgAAAAhAK67TRzIAQAAeAMAAA4AAAAAAAAA&#10;AAAAAAAALgIAAGRycy9lMm9Eb2MueG1sUEsBAi0AFAAGAAgAAAAhADGEpx7dAAAACwEAAA8AAAAA&#10;AAAAAAAAAAAAIgQAAGRycy9kb3ducmV2LnhtbFBLBQYAAAAABAAEAPMAAAAsBQAAAAA=&#10;" filled="f" stroked="f">
              <v:textbox inset="2.53958mm,2.53958mm,2.53958mm,2.53958mm">
                <w:txbxContent>
                  <w:p w14:paraId="59BD6E11" w14:textId="77777777" w:rsidR="00F3241D" w:rsidRDefault="005B4888">
                    <w:pPr>
                      <w:spacing w:after="0" w:line="240" w:lineRule="auto"/>
                      <w:textDirection w:val="btLr"/>
                    </w:pPr>
                  </w:p>
                </w:txbxContent>
              </v:textbox>
            </v:rect>
          </w:pict>
        </mc:Fallback>
      </mc:AlternateContent>
    </w:r>
  </w:p>
  <w:p w14:paraId="4D8FE724" w14:textId="77777777" w:rsidR="009031A3" w:rsidRDefault="009031A3">
    <w:pPr>
      <w:pBdr>
        <w:top w:val="nil"/>
        <w:left w:val="nil"/>
        <w:bottom w:val="nil"/>
        <w:right w:val="nil"/>
        <w:between w:val="nil"/>
      </w:pBdr>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21CEA"/>
    <w:multiLevelType w:val="multilevel"/>
    <w:tmpl w:val="EA647D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1A3"/>
    <w:rsid w:val="00080FA7"/>
    <w:rsid w:val="0016617D"/>
    <w:rsid w:val="004F107C"/>
    <w:rsid w:val="005B4888"/>
    <w:rsid w:val="00687D93"/>
    <w:rsid w:val="007B6989"/>
    <w:rsid w:val="009031A3"/>
    <w:rsid w:val="00E15FD7"/>
    <w:rsid w:val="00EE039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A7D8A"/>
  <w15:docId w15:val="{2BA2359D-3D7D-4504-8273-7F8F71DDB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428</Words>
  <Characters>2354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Instituto Tecnologico de la Producción ITP</cp:lastModifiedBy>
  <cp:revision>2</cp:revision>
  <dcterms:created xsi:type="dcterms:W3CDTF">2021-10-12T17:03:00Z</dcterms:created>
  <dcterms:modified xsi:type="dcterms:W3CDTF">2021-10-12T17:03:00Z</dcterms:modified>
</cp:coreProperties>
</file>