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AE67" w14:textId="77777777" w:rsidR="009E2171" w:rsidRDefault="008C5A73">
      <w:pPr>
        <w:pBdr>
          <w:top w:val="nil"/>
          <w:left w:val="nil"/>
          <w:bottom w:val="nil"/>
          <w:right w:val="nil"/>
          <w:between w:val="nil"/>
        </w:pBdr>
        <w:spacing w:after="0" w:line="240" w:lineRule="auto"/>
        <w:jc w:val="center"/>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NOTA DE PRENSA</w:t>
      </w:r>
    </w:p>
    <w:p w14:paraId="36FB7ECF" w14:textId="77777777" w:rsidR="009E2171" w:rsidRDefault="009E2171">
      <w:pPr>
        <w:pBdr>
          <w:top w:val="nil"/>
          <w:left w:val="nil"/>
          <w:bottom w:val="nil"/>
          <w:right w:val="nil"/>
          <w:between w:val="nil"/>
        </w:pBdr>
        <w:spacing w:after="0" w:line="240" w:lineRule="auto"/>
        <w:rPr>
          <w:rFonts w:ascii="Century Gothic" w:eastAsia="Century Gothic" w:hAnsi="Century Gothic" w:cs="Century Gothic"/>
          <w:b/>
          <w:sz w:val="16"/>
          <w:szCs w:val="16"/>
        </w:rPr>
      </w:pPr>
    </w:p>
    <w:p w14:paraId="693C996C" w14:textId="41664550" w:rsidR="009E2171" w:rsidRDefault="008C5A73">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CAMPAÑA “MONITOREA TU BAHÍA” BENEFICIÓ A 30 AMYPES </w:t>
      </w:r>
      <w:r w:rsidR="005D6190">
        <w:rPr>
          <w:rFonts w:ascii="Century Gothic" w:eastAsia="Century Gothic" w:hAnsi="Century Gothic" w:cs="Century Gothic"/>
          <w:b/>
          <w:color w:val="000000"/>
          <w:sz w:val="24"/>
          <w:szCs w:val="24"/>
        </w:rPr>
        <w:t>DE SECHURA</w:t>
      </w:r>
      <w:r>
        <w:rPr>
          <w:rFonts w:ascii="Century Gothic" w:eastAsia="Century Gothic" w:hAnsi="Century Gothic" w:cs="Century Gothic"/>
          <w:b/>
          <w:color w:val="000000"/>
          <w:sz w:val="24"/>
          <w:szCs w:val="24"/>
        </w:rPr>
        <w:t xml:space="preserve"> </w:t>
      </w:r>
    </w:p>
    <w:p w14:paraId="54D6B659" w14:textId="77777777" w:rsidR="009E2171" w:rsidRDefault="009E2171">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7847644D"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bookmarkStart w:id="0" w:name="_gjdgxs" w:colFirst="0" w:colLast="0"/>
      <w:bookmarkEnd w:id="0"/>
      <w:r w:rsidRPr="005D6190">
        <w:rPr>
          <w:rFonts w:ascii="Century Gothic" w:eastAsia="Century Gothic" w:hAnsi="Century Gothic" w:cs="Century Gothic"/>
          <w:color w:val="000000"/>
        </w:rPr>
        <w:t xml:space="preserve">Un total de 30 concesiones de mar pertenecientes a la categoría AMYPE (Acuicultura de Micro y Pequeña Empresa) que se dedican al cultivo de moluscos bivalvos (Concha de abanico) en la bahía de Sechura, fueron beneficiadas con la campaña “Monitorea tu bahía” impulsada por el </w:t>
      </w:r>
      <w:proofErr w:type="spellStart"/>
      <w:r w:rsidRPr="005D6190">
        <w:rPr>
          <w:rFonts w:ascii="Century Gothic" w:eastAsia="Century Gothic" w:hAnsi="Century Gothic" w:cs="Century Gothic"/>
          <w:color w:val="000000"/>
        </w:rPr>
        <w:t>CITEpesquero</w:t>
      </w:r>
      <w:proofErr w:type="spellEnd"/>
      <w:r w:rsidRPr="005D6190">
        <w:rPr>
          <w:rFonts w:ascii="Century Gothic" w:eastAsia="Century Gothic" w:hAnsi="Century Gothic" w:cs="Century Gothic"/>
          <w:color w:val="000000"/>
        </w:rPr>
        <w:t xml:space="preserve"> Piura en alianza estratégica con el Consejo de </w:t>
      </w:r>
      <w:proofErr w:type="spellStart"/>
      <w:r w:rsidRPr="005D6190">
        <w:rPr>
          <w:rFonts w:ascii="Century Gothic" w:eastAsia="Century Gothic" w:hAnsi="Century Gothic" w:cs="Century Gothic"/>
          <w:color w:val="000000"/>
        </w:rPr>
        <w:t>Maricultores</w:t>
      </w:r>
      <w:proofErr w:type="spellEnd"/>
      <w:r w:rsidRPr="005D6190">
        <w:rPr>
          <w:rFonts w:ascii="Century Gothic" w:eastAsia="Century Gothic" w:hAnsi="Century Gothic" w:cs="Century Gothic"/>
          <w:color w:val="000000"/>
        </w:rPr>
        <w:t xml:space="preserve">. </w:t>
      </w:r>
    </w:p>
    <w:p w14:paraId="65DFDA94"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 xml:space="preserve"> </w:t>
      </w:r>
    </w:p>
    <w:p w14:paraId="57D13C4D"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Dicha campaña consistió en realizar monitoreos ambientales, que incluyeron la toma de muestras de agua de mar para análisis de laboratorio y medición de parámetros oceanográficos.</w:t>
      </w:r>
    </w:p>
    <w:p w14:paraId="11033C54"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 xml:space="preserve"> </w:t>
      </w:r>
    </w:p>
    <w:p w14:paraId="37C0BAEE" w14:textId="3F5B73D6" w:rsid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 xml:space="preserve">“A través de esta campaña se ha otorgado un descuento del 10% en el costo de los servicios para que se pueda acceder a los ensayos de laboratorio y se ha brindado asistencia técnica de manera gratuita a las </w:t>
      </w:r>
      <w:proofErr w:type="spellStart"/>
      <w:r w:rsidRPr="005D6190">
        <w:rPr>
          <w:rFonts w:ascii="Century Gothic" w:eastAsia="Century Gothic" w:hAnsi="Century Gothic" w:cs="Century Gothic"/>
          <w:color w:val="000000"/>
        </w:rPr>
        <w:t>AMYPEs</w:t>
      </w:r>
      <w:proofErr w:type="spellEnd"/>
      <w:r w:rsidRPr="005D6190">
        <w:rPr>
          <w:rFonts w:ascii="Century Gothic" w:eastAsia="Century Gothic" w:hAnsi="Century Gothic" w:cs="Century Gothic"/>
          <w:color w:val="000000"/>
        </w:rPr>
        <w:t xml:space="preserve">, para la elaboración de sus informes semestrales ambientales, en cumplimiento de los compromisos asumidos por los acuicultores al obtener la Certificación Ambiental de la Declaración de Impacto Ambiental (DIA)”, señaló el director del </w:t>
      </w:r>
      <w:proofErr w:type="spellStart"/>
      <w:r w:rsidRPr="005D6190">
        <w:rPr>
          <w:rFonts w:ascii="Century Gothic" w:eastAsia="Century Gothic" w:hAnsi="Century Gothic" w:cs="Century Gothic"/>
          <w:color w:val="000000"/>
        </w:rPr>
        <w:t>CITEpesquero</w:t>
      </w:r>
      <w:proofErr w:type="spellEnd"/>
      <w:r w:rsidRPr="005D6190">
        <w:rPr>
          <w:rFonts w:ascii="Century Gothic" w:eastAsia="Century Gothic" w:hAnsi="Century Gothic" w:cs="Century Gothic"/>
          <w:color w:val="000000"/>
        </w:rPr>
        <w:t xml:space="preserve"> Piura, William Rivera Peña.</w:t>
      </w:r>
    </w:p>
    <w:p w14:paraId="15C54D73"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77CFFC86"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 xml:space="preserve">“Monitorea tu bahía” se realizó durante tres días y estuvo a cargo de los especialistas del CITE, quienes recorrieron 28 concesiones en las áreas de producción de </w:t>
      </w:r>
      <w:proofErr w:type="spellStart"/>
      <w:r w:rsidRPr="005D6190">
        <w:rPr>
          <w:rFonts w:ascii="Century Gothic" w:eastAsia="Century Gothic" w:hAnsi="Century Gothic" w:cs="Century Gothic"/>
          <w:color w:val="000000"/>
        </w:rPr>
        <w:t>Chuyillachi</w:t>
      </w:r>
      <w:proofErr w:type="spellEnd"/>
      <w:r w:rsidRPr="005D6190">
        <w:rPr>
          <w:rFonts w:ascii="Century Gothic" w:eastAsia="Century Gothic" w:hAnsi="Century Gothic" w:cs="Century Gothic"/>
          <w:color w:val="000000"/>
        </w:rPr>
        <w:t xml:space="preserve">, Matacaballo, </w:t>
      </w:r>
      <w:proofErr w:type="spellStart"/>
      <w:r w:rsidRPr="005D6190">
        <w:rPr>
          <w:rFonts w:ascii="Century Gothic" w:eastAsia="Century Gothic" w:hAnsi="Century Gothic" w:cs="Century Gothic"/>
          <w:color w:val="000000"/>
        </w:rPr>
        <w:t>Parachique</w:t>
      </w:r>
      <w:proofErr w:type="spellEnd"/>
      <w:r w:rsidRPr="005D6190">
        <w:rPr>
          <w:rFonts w:ascii="Century Gothic" w:eastAsia="Century Gothic" w:hAnsi="Century Gothic" w:cs="Century Gothic"/>
          <w:color w:val="000000"/>
        </w:rPr>
        <w:t xml:space="preserve">, Barrancos, </w:t>
      </w:r>
      <w:proofErr w:type="spellStart"/>
      <w:r w:rsidRPr="005D6190">
        <w:rPr>
          <w:rFonts w:ascii="Century Gothic" w:eastAsia="Century Gothic" w:hAnsi="Century Gothic" w:cs="Century Gothic"/>
          <w:color w:val="000000"/>
        </w:rPr>
        <w:t>Vichayo</w:t>
      </w:r>
      <w:proofErr w:type="spellEnd"/>
      <w:r w:rsidRPr="005D6190">
        <w:rPr>
          <w:rFonts w:ascii="Century Gothic" w:eastAsia="Century Gothic" w:hAnsi="Century Gothic" w:cs="Century Gothic"/>
          <w:color w:val="000000"/>
        </w:rPr>
        <w:t xml:space="preserve"> y Puerto Rico para realizar tomas de muestra y evaluaciones correspondientes. </w:t>
      </w:r>
    </w:p>
    <w:p w14:paraId="01178623"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 xml:space="preserve"> </w:t>
      </w:r>
    </w:p>
    <w:p w14:paraId="7E819E17"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 xml:space="preserve">Por su parte, Agustín Matías Navarro, presidente del Consejo de </w:t>
      </w:r>
      <w:proofErr w:type="spellStart"/>
      <w:r w:rsidRPr="005D6190">
        <w:rPr>
          <w:rFonts w:ascii="Century Gothic" w:eastAsia="Century Gothic" w:hAnsi="Century Gothic" w:cs="Century Gothic"/>
          <w:color w:val="000000"/>
        </w:rPr>
        <w:t>Maricultores</w:t>
      </w:r>
      <w:proofErr w:type="spellEnd"/>
      <w:r w:rsidRPr="005D6190">
        <w:rPr>
          <w:rFonts w:ascii="Century Gothic" w:eastAsia="Century Gothic" w:hAnsi="Century Gothic" w:cs="Century Gothic"/>
          <w:color w:val="000000"/>
        </w:rPr>
        <w:t xml:space="preserve"> de la Bahía de Sechura, señaló que gracias a este esfuerzo las </w:t>
      </w:r>
      <w:proofErr w:type="spellStart"/>
      <w:r w:rsidRPr="005D6190">
        <w:rPr>
          <w:rFonts w:ascii="Century Gothic" w:eastAsia="Century Gothic" w:hAnsi="Century Gothic" w:cs="Century Gothic"/>
          <w:color w:val="000000"/>
        </w:rPr>
        <w:t>AMYPEs</w:t>
      </w:r>
      <w:proofErr w:type="spellEnd"/>
      <w:r w:rsidRPr="005D6190">
        <w:rPr>
          <w:rFonts w:ascii="Century Gothic" w:eastAsia="Century Gothic" w:hAnsi="Century Gothic" w:cs="Century Gothic"/>
          <w:color w:val="000000"/>
        </w:rPr>
        <w:t xml:space="preserve"> podrán dar cumplimiento con la presentación de informes ambientales.</w:t>
      </w:r>
    </w:p>
    <w:p w14:paraId="4D9ACD18" w14:textId="77777777" w:rsidR="005D6190" w:rsidRPr="005D6190"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BDB4456" w14:textId="46BAF6F2" w:rsidR="009E2171" w:rsidRDefault="005D6190" w:rsidP="005D6190">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5D6190">
        <w:rPr>
          <w:rFonts w:ascii="Century Gothic" w:eastAsia="Century Gothic" w:hAnsi="Century Gothic" w:cs="Century Gothic"/>
          <w:color w:val="000000"/>
        </w:rPr>
        <w:t>Cabe precisar que el cultivo de concha de abanico es una de las principales actividades de la acuicultura peruana, siendo la Bahía de Sechura, en la región Piura, la zona de mayor producción nacional de moluscos bivalvos, representando entre el 70 y 80% de la producción nacional.</w:t>
      </w:r>
    </w:p>
    <w:p w14:paraId="05D97A3A" w14:textId="77777777" w:rsidR="009E2171" w:rsidRDefault="009E2171">
      <w:pPr>
        <w:pBdr>
          <w:top w:val="nil"/>
          <w:left w:val="nil"/>
          <w:bottom w:val="nil"/>
          <w:right w:val="nil"/>
          <w:between w:val="nil"/>
        </w:pBdr>
        <w:spacing w:after="0" w:line="240" w:lineRule="auto"/>
        <w:jc w:val="both"/>
        <w:rPr>
          <w:rFonts w:ascii="Century Gothic" w:eastAsia="Century Gothic" w:hAnsi="Century Gothic" w:cs="Century Gothic"/>
          <w:color w:val="000000"/>
        </w:rPr>
      </w:pPr>
      <w:bookmarkStart w:id="1" w:name="_30j0zll" w:colFirst="0" w:colLast="0"/>
      <w:bookmarkEnd w:id="1"/>
    </w:p>
    <w:p w14:paraId="0332B487" w14:textId="77777777" w:rsidR="009E2171" w:rsidRDefault="008C5A73">
      <w:pPr>
        <w:pBdr>
          <w:top w:val="nil"/>
          <w:left w:val="nil"/>
          <w:bottom w:val="nil"/>
          <w:right w:val="nil"/>
          <w:between w:val="nil"/>
        </w:pBdr>
        <w:spacing w:after="0" w:line="240" w:lineRule="auto"/>
        <w:ind w:left="504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Piura, noviembre del 2021</w:t>
      </w:r>
    </w:p>
    <w:p w14:paraId="4B444E06" w14:textId="77777777" w:rsidR="009E2171" w:rsidRDefault="009E2171">
      <w:pPr>
        <w:pBdr>
          <w:top w:val="nil"/>
          <w:left w:val="nil"/>
          <w:bottom w:val="nil"/>
          <w:right w:val="nil"/>
          <w:between w:val="nil"/>
        </w:pBdr>
        <w:spacing w:after="0" w:line="240" w:lineRule="auto"/>
        <w:jc w:val="both"/>
        <w:rPr>
          <w:rFonts w:ascii="Century Gothic" w:eastAsia="Century Gothic" w:hAnsi="Century Gothic" w:cs="Century Gothic"/>
          <w:color w:val="000000"/>
        </w:rPr>
      </w:pPr>
    </w:p>
    <w:sectPr w:rsidR="009E2171">
      <w:headerReference w:type="default" r:id="rId6"/>
      <w:footerReference w:type="default" r:id="rId7"/>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A48A" w14:textId="77777777" w:rsidR="008C5A73" w:rsidRDefault="008C5A73">
      <w:pPr>
        <w:spacing w:after="0" w:line="240" w:lineRule="auto"/>
      </w:pPr>
      <w:r>
        <w:separator/>
      </w:r>
    </w:p>
  </w:endnote>
  <w:endnote w:type="continuationSeparator" w:id="0">
    <w:p w14:paraId="3BAF7189" w14:textId="77777777" w:rsidR="008C5A73" w:rsidRDefault="008C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1379" w14:textId="77777777" w:rsidR="009E2171" w:rsidRDefault="008C5A73">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09BBF8D4" w14:textId="77777777" w:rsidR="009E2171" w:rsidRDefault="009E2171">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EE05" w14:textId="77777777" w:rsidR="008C5A73" w:rsidRDefault="008C5A73">
      <w:pPr>
        <w:spacing w:after="0" w:line="240" w:lineRule="auto"/>
      </w:pPr>
      <w:r>
        <w:separator/>
      </w:r>
    </w:p>
  </w:footnote>
  <w:footnote w:type="continuationSeparator" w:id="0">
    <w:p w14:paraId="55515DEE" w14:textId="77777777" w:rsidR="008C5A73" w:rsidRDefault="008C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EA5C" w14:textId="77777777" w:rsidR="009E2171" w:rsidRDefault="008C5A73">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17D02533" wp14:editId="272FE1BB">
          <wp:simplePos x="0" y="0"/>
          <wp:positionH relativeFrom="column">
            <wp:posOffset>-342896</wp:posOffset>
          </wp:positionH>
          <wp:positionV relativeFrom="paragraph">
            <wp:posOffset>-234945</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2F3925B" wp14:editId="05429B95">
          <wp:simplePos x="0" y="0"/>
          <wp:positionH relativeFrom="column">
            <wp:posOffset>4681220</wp:posOffset>
          </wp:positionH>
          <wp:positionV relativeFrom="paragraph">
            <wp:posOffset>-403856</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1D9A83D8" w14:textId="77777777" w:rsidR="009E2171" w:rsidRDefault="008C5A73">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6757539B" wp14:editId="1C2F4F28">
              <wp:simplePos x="0" y="0"/>
              <wp:positionH relativeFrom="column">
                <wp:posOffset>-901695</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DFC6FF2" w14:textId="77777777" w:rsidR="00856FA6" w:rsidRDefault="008C5A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-901695</wp:posOffset>
              </wp:positionH>
              <wp:positionV relativeFrom="paragraph">
                <wp:posOffset>127000</wp:posOffset>
              </wp:positionV>
              <wp:extent cx="7581900" cy="216039"/>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581900" cy="216039"/>
                      </a:xfrm>
                      <a:prstGeom prst="rect"/>
                      <a:ln/>
                    </pic:spPr>
                  </pic:pic>
                </a:graphicData>
              </a:graphic>
            </wp:anchor>
          </w:drawing>
        </mc:Fallback>
      </mc:AlternateContent>
    </w:r>
  </w:p>
  <w:p w14:paraId="4BC0C6B1" w14:textId="77777777" w:rsidR="009E2171" w:rsidRDefault="009E2171">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71"/>
    <w:rsid w:val="004F0F90"/>
    <w:rsid w:val="005D6190"/>
    <w:rsid w:val="008C5A73"/>
    <w:rsid w:val="009E21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735"/>
  <w15:docId w15:val="{6F47C4F2-4956-4B0F-B05C-BB37CB79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PCPiura01</dc:creator>
  <cp:lastModifiedBy>Instituto Tecnologico de la Producción ITP</cp:lastModifiedBy>
  <cp:revision>2</cp:revision>
  <dcterms:created xsi:type="dcterms:W3CDTF">2021-11-10T18:20:00Z</dcterms:created>
  <dcterms:modified xsi:type="dcterms:W3CDTF">2021-11-10T18:20:00Z</dcterms:modified>
</cp:coreProperties>
</file>