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B939" w14:textId="77777777" w:rsidR="00F64B8F" w:rsidRDefault="00F64B8F" w:rsidP="00F64B8F">
      <w:pPr>
        <w:pBdr>
          <w:top w:val="nil"/>
          <w:left w:val="nil"/>
          <w:bottom w:val="nil"/>
          <w:right w:val="nil"/>
          <w:between w:val="nil"/>
        </w:pBdr>
        <w:spacing w:after="0" w:line="240" w:lineRule="auto"/>
        <w:jc w:val="center"/>
        <w:rPr>
          <w:rFonts w:ascii="Century Gothic" w:eastAsia="Century Gothic" w:hAnsi="Century Gothic" w:cs="Century Gothic"/>
          <w:b/>
          <w:bCs/>
          <w:color w:val="000000"/>
        </w:rPr>
      </w:pPr>
      <w:r w:rsidRPr="00F64B8F">
        <w:rPr>
          <w:rFonts w:ascii="Century Gothic" w:eastAsia="Century Gothic" w:hAnsi="Century Gothic" w:cs="Century Gothic"/>
          <w:b/>
          <w:bCs/>
          <w:color w:val="000000"/>
        </w:rPr>
        <w:t>NOTA DE PRENSA</w:t>
      </w:r>
    </w:p>
    <w:p w14:paraId="08FEFA42" w14:textId="77777777" w:rsidR="00424355" w:rsidRPr="00424355" w:rsidRDefault="00424355" w:rsidP="00F64B8F">
      <w:pPr>
        <w:pBdr>
          <w:top w:val="nil"/>
          <w:left w:val="nil"/>
          <w:bottom w:val="nil"/>
          <w:right w:val="nil"/>
          <w:between w:val="nil"/>
        </w:pBdr>
        <w:spacing w:after="0" w:line="240" w:lineRule="auto"/>
        <w:jc w:val="center"/>
        <w:rPr>
          <w:rFonts w:ascii="Century Gothic" w:eastAsia="Century Gothic" w:hAnsi="Century Gothic" w:cs="Century Gothic"/>
          <w:b/>
          <w:bCs/>
          <w:color w:val="000000"/>
          <w:sz w:val="16"/>
        </w:rPr>
      </w:pPr>
    </w:p>
    <w:p w14:paraId="38D369D4" w14:textId="3D9BBAB2" w:rsidR="00424355" w:rsidRPr="00424355" w:rsidRDefault="00424355" w:rsidP="00F64B8F">
      <w:pPr>
        <w:pBdr>
          <w:top w:val="nil"/>
          <w:left w:val="nil"/>
          <w:bottom w:val="nil"/>
          <w:right w:val="nil"/>
          <w:between w:val="nil"/>
        </w:pBdr>
        <w:spacing w:after="0" w:line="240" w:lineRule="auto"/>
        <w:jc w:val="center"/>
        <w:rPr>
          <w:rFonts w:ascii="Century Gothic" w:eastAsia="Century Gothic" w:hAnsi="Century Gothic" w:cs="Century Gothic"/>
          <w:bCs/>
          <w:color w:val="000000"/>
        </w:rPr>
      </w:pPr>
      <w:r w:rsidRPr="00424355">
        <w:rPr>
          <w:rFonts w:ascii="Century Gothic" w:eastAsia="Century Gothic" w:hAnsi="Century Gothic" w:cs="Century Gothic"/>
          <w:bCs/>
          <w:color w:val="000000"/>
        </w:rPr>
        <w:t>Prototipo estará listo en febrero del presente año</w:t>
      </w:r>
    </w:p>
    <w:p w14:paraId="4E79AB4E" w14:textId="77777777" w:rsidR="00F64B8F" w:rsidRPr="00DD0D62" w:rsidRDefault="00F64B8F" w:rsidP="00F64B8F">
      <w:pPr>
        <w:pBdr>
          <w:top w:val="nil"/>
          <w:left w:val="nil"/>
          <w:bottom w:val="nil"/>
          <w:right w:val="nil"/>
          <w:between w:val="nil"/>
        </w:pBdr>
        <w:spacing w:after="0" w:line="240" w:lineRule="auto"/>
        <w:jc w:val="center"/>
        <w:rPr>
          <w:rFonts w:ascii="Century Gothic" w:eastAsia="Century Gothic" w:hAnsi="Century Gothic" w:cs="Century Gothic"/>
          <w:color w:val="000000"/>
          <w:sz w:val="16"/>
        </w:rPr>
      </w:pPr>
    </w:p>
    <w:p w14:paraId="2CADA2E2" w14:textId="2651EF3E" w:rsidR="00F64B8F" w:rsidRPr="00F64B8F" w:rsidRDefault="00F64B8F" w:rsidP="00094BC6">
      <w:pPr>
        <w:pBdr>
          <w:top w:val="nil"/>
          <w:left w:val="nil"/>
          <w:bottom w:val="nil"/>
          <w:right w:val="nil"/>
          <w:between w:val="nil"/>
        </w:pBdr>
        <w:spacing w:after="0" w:line="240" w:lineRule="auto"/>
        <w:jc w:val="center"/>
        <w:rPr>
          <w:rFonts w:ascii="Century Gothic" w:eastAsia="Century Gothic" w:hAnsi="Century Gothic" w:cs="Century Gothic"/>
          <w:b/>
          <w:bCs/>
          <w:color w:val="000000"/>
        </w:rPr>
      </w:pPr>
      <w:r w:rsidRPr="00F64B8F">
        <w:rPr>
          <w:rFonts w:ascii="Century Gothic" w:eastAsia="Century Gothic" w:hAnsi="Century Gothic" w:cs="Century Gothic"/>
          <w:b/>
          <w:bCs/>
          <w:color w:val="000000"/>
        </w:rPr>
        <w:t>CREARÁN ROBOT SUBMARINO PARA MEJORAR LA PRODUCCIÓN Y COSECHA DEL CULTIVO DE CONCHA DE ABANICO EN SECHURA</w:t>
      </w:r>
    </w:p>
    <w:p w14:paraId="1C4E7FE3" w14:textId="77777777" w:rsidR="00F64B8F"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0E53C721" w14:textId="77777777" w:rsidR="00424355" w:rsidRDefault="00424355"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0A8CDB65" w14:textId="77777777" w:rsidR="00F64B8F" w:rsidRPr="00F64B8F"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Productores de concha de abanico en la bahía de Sechura (Piura) se sumergieron en la tecnología submarina a través de un proyecto de investigación que consiste en el desarrollo de una plataforma virtual y creación de un robot submarino con aplicación de alta tecnología, que les permitirá establecer programaciones de producción, proyecciones de cosecha en volumen, talla y tiempo de una manera precisa.</w:t>
      </w:r>
    </w:p>
    <w:p w14:paraId="58C96072" w14:textId="77777777"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4085DC71" w14:textId="60A67C28" w:rsidR="00F64B8F" w:rsidRPr="00F64B8F" w:rsidRDefault="009656A0"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robot submarino estará listo para febrero del presente año y será diseñado por la </w:t>
      </w:r>
      <w:r w:rsidR="00094BC6" w:rsidRPr="00F64B8F">
        <w:rPr>
          <w:rFonts w:ascii="Century Gothic" w:eastAsia="Century Gothic" w:hAnsi="Century Gothic" w:cs="Century Gothic"/>
          <w:color w:val="000000"/>
        </w:rPr>
        <w:t xml:space="preserve">empresa Veox con </w:t>
      </w:r>
      <w:r w:rsidR="00094BC6">
        <w:rPr>
          <w:rFonts w:ascii="Century Gothic" w:eastAsia="Century Gothic" w:hAnsi="Century Gothic" w:cs="Century Gothic"/>
          <w:color w:val="000000"/>
        </w:rPr>
        <w:t>el apoyo del CITEpesquero Piura del Instituto Tecnológico de la Producción (ITP)</w:t>
      </w:r>
      <w:r>
        <w:rPr>
          <w:rFonts w:ascii="Century Gothic" w:eastAsia="Century Gothic" w:hAnsi="Century Gothic" w:cs="Century Gothic"/>
          <w:color w:val="000000"/>
        </w:rPr>
        <w:t>. En una primera etapa se trabajó la recolección de</w:t>
      </w:r>
      <w:r w:rsidR="00094BC6" w:rsidRPr="00F64B8F">
        <w:rPr>
          <w:rFonts w:ascii="Century Gothic" w:eastAsia="Century Gothic" w:hAnsi="Century Gothic" w:cs="Century Gothic"/>
          <w:color w:val="000000"/>
        </w:rPr>
        <w:t xml:space="preserve"> información sobre las etapas de crecimiento de la concha de abanico</w:t>
      </w:r>
      <w:r>
        <w:rPr>
          <w:rFonts w:ascii="Century Gothic" w:eastAsia="Century Gothic" w:hAnsi="Century Gothic" w:cs="Century Gothic"/>
          <w:color w:val="000000"/>
        </w:rPr>
        <w:t>, i</w:t>
      </w:r>
      <w:r w:rsidR="00F64B8F" w:rsidRPr="00F64B8F">
        <w:rPr>
          <w:rFonts w:ascii="Century Gothic" w:eastAsia="Century Gothic" w:hAnsi="Century Gothic" w:cs="Century Gothic"/>
          <w:color w:val="000000"/>
        </w:rPr>
        <w:t xml:space="preserve">niciado </w:t>
      </w:r>
      <w:r>
        <w:rPr>
          <w:rFonts w:ascii="Century Gothic" w:eastAsia="Century Gothic" w:hAnsi="Century Gothic" w:cs="Century Gothic"/>
          <w:color w:val="000000"/>
        </w:rPr>
        <w:t xml:space="preserve">en primera instancia en </w:t>
      </w:r>
      <w:r w:rsidR="00F64B8F" w:rsidRPr="00F64B8F">
        <w:rPr>
          <w:rFonts w:ascii="Century Gothic" w:eastAsia="Century Gothic" w:hAnsi="Century Gothic" w:cs="Century Gothic"/>
          <w:color w:val="000000"/>
        </w:rPr>
        <w:t xml:space="preserve">las asociaciones de producción “Caballero de los mares”, “Amigo Unidos”, “Compañeros del mar” y </w:t>
      </w:r>
      <w:r w:rsidR="00094BC6">
        <w:rPr>
          <w:rFonts w:ascii="Century Gothic" w:eastAsia="Century Gothic" w:hAnsi="Century Gothic" w:cs="Century Gothic"/>
          <w:color w:val="000000"/>
        </w:rPr>
        <w:t xml:space="preserve">“Delicias del mar”, ubicadas en </w:t>
      </w:r>
      <w:r w:rsidR="00F64B8F" w:rsidRPr="00F64B8F">
        <w:rPr>
          <w:rFonts w:ascii="Century Gothic" w:eastAsia="Century Gothic" w:hAnsi="Century Gothic" w:cs="Century Gothic"/>
          <w:color w:val="000000"/>
        </w:rPr>
        <w:t>Chulliyachi, Barranco</w:t>
      </w:r>
      <w:r w:rsidR="00094BC6">
        <w:rPr>
          <w:rFonts w:ascii="Century Gothic" w:eastAsia="Century Gothic" w:hAnsi="Century Gothic" w:cs="Century Gothic"/>
          <w:color w:val="000000"/>
        </w:rPr>
        <w:t>s y Las Delicias.</w:t>
      </w:r>
    </w:p>
    <w:p w14:paraId="6A66AB86" w14:textId="77777777"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17DEFB53" w14:textId="3FED9501" w:rsidR="00094BC6" w:rsidRDefault="00094BC6" w:rsidP="00094BC6">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 xml:space="preserve">“Con este proyecto lo que se busca es incorporar un componente de tecnificación que complemente el trabajo de los submarinistas reduciendo el riesgo de vida, pues el uso de robots marinos minimizaría los riesgos y facilitaría la labor de los buzos en las actividades propias de los cultivos”, señaló el director del CITEpesquero Piura, William Rivera Peña. </w:t>
      </w:r>
    </w:p>
    <w:p w14:paraId="51D4D0E8" w14:textId="77777777" w:rsidR="00094BC6" w:rsidRPr="00DD0D62" w:rsidRDefault="00094BC6" w:rsidP="00094BC6">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3D78ACA0" w14:textId="00B700AB" w:rsidR="00094BC6" w:rsidRDefault="00094BC6" w:rsidP="00094BC6">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 xml:space="preserve">Rivera Peña, señaló que actualmente los productores de concha de abanico deben realizar obligatoriamente una evaluación de su producto estableciendo una programación </w:t>
      </w:r>
      <w:r w:rsidR="00DD0D62">
        <w:rPr>
          <w:rFonts w:ascii="Century Gothic" w:eastAsia="Century Gothic" w:hAnsi="Century Gothic" w:cs="Century Gothic"/>
          <w:color w:val="000000"/>
        </w:rPr>
        <w:t>específica</w:t>
      </w:r>
      <w:r w:rsidRPr="00F64B8F">
        <w:rPr>
          <w:rFonts w:ascii="Century Gothic" w:eastAsia="Century Gothic" w:hAnsi="Century Gothic" w:cs="Century Gothic"/>
          <w:color w:val="000000"/>
        </w:rPr>
        <w:t xml:space="preserve">, </w:t>
      </w:r>
      <w:r w:rsidR="00DD0D62">
        <w:rPr>
          <w:rFonts w:ascii="Century Gothic" w:eastAsia="Century Gothic" w:hAnsi="Century Gothic" w:cs="Century Gothic"/>
          <w:color w:val="000000"/>
        </w:rPr>
        <w:t>la cual es realizada</w:t>
      </w:r>
      <w:r w:rsidRPr="00F64B8F">
        <w:rPr>
          <w:rFonts w:ascii="Century Gothic" w:eastAsia="Century Gothic" w:hAnsi="Century Gothic" w:cs="Century Gothic"/>
          <w:color w:val="000000"/>
        </w:rPr>
        <w:t xml:space="preserve"> por buzos artesanales que se sumergen por tiempos prolongados poniendo en riesgo su vida. </w:t>
      </w:r>
    </w:p>
    <w:p w14:paraId="598347F2" w14:textId="77777777" w:rsidR="00094BC6" w:rsidRPr="00DD0D62" w:rsidRDefault="00094BC6" w:rsidP="00094BC6">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7FCF10AA" w14:textId="3F3D9D71" w:rsidR="00F64B8F" w:rsidRPr="00F64B8F" w:rsidRDefault="00DD0D62" w:rsidP="00094BC6">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su parte, </w:t>
      </w:r>
      <w:r w:rsidR="00094BC6" w:rsidRPr="00F64B8F">
        <w:rPr>
          <w:rFonts w:ascii="Century Gothic" w:eastAsia="Century Gothic" w:hAnsi="Century Gothic" w:cs="Century Gothic"/>
          <w:color w:val="000000"/>
        </w:rPr>
        <w:t xml:space="preserve"> </w:t>
      </w:r>
      <w:r w:rsidRPr="00F64B8F">
        <w:rPr>
          <w:rFonts w:ascii="Century Gothic" w:eastAsia="Century Gothic" w:hAnsi="Century Gothic" w:cs="Century Gothic"/>
          <w:color w:val="000000"/>
        </w:rPr>
        <w:t>Wilder Nina Choquehuayta, especialista en robótica y gere</w:t>
      </w:r>
      <w:r>
        <w:rPr>
          <w:rFonts w:ascii="Century Gothic" w:eastAsia="Century Gothic" w:hAnsi="Century Gothic" w:cs="Century Gothic"/>
          <w:color w:val="000000"/>
        </w:rPr>
        <w:t xml:space="preserve">nte general de la empresa Veox, recalcó que vienen </w:t>
      </w:r>
      <w:r w:rsidR="00F64B8F" w:rsidRPr="00F64B8F">
        <w:rPr>
          <w:rFonts w:ascii="Century Gothic" w:eastAsia="Century Gothic" w:hAnsi="Century Gothic" w:cs="Century Gothic"/>
          <w:color w:val="000000"/>
        </w:rPr>
        <w:t xml:space="preserve">recolectando fotos y videos de las diferentes etapas de la concha de abanico </w:t>
      </w:r>
      <w:r>
        <w:rPr>
          <w:rFonts w:ascii="Century Gothic" w:eastAsia="Century Gothic" w:hAnsi="Century Gothic" w:cs="Century Gothic"/>
          <w:color w:val="000000"/>
        </w:rPr>
        <w:t xml:space="preserve">utilizando cámaras como las GoPro y Paralenz, además de un </w:t>
      </w:r>
      <w:r w:rsidR="00F64B8F" w:rsidRPr="00F64B8F">
        <w:rPr>
          <w:rFonts w:ascii="Century Gothic" w:eastAsia="Century Gothic" w:hAnsi="Century Gothic" w:cs="Century Gothic"/>
          <w:color w:val="000000"/>
        </w:rPr>
        <w:t xml:space="preserve">dron submarino. </w:t>
      </w:r>
    </w:p>
    <w:p w14:paraId="14261F36" w14:textId="77777777"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1E9D2B63" w14:textId="2D7132A9"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b/>
          <w:color w:val="000000"/>
        </w:rPr>
      </w:pPr>
      <w:r w:rsidRPr="00DD0D62">
        <w:rPr>
          <w:rFonts w:ascii="Century Gothic" w:eastAsia="Century Gothic" w:hAnsi="Century Gothic" w:cs="Century Gothic"/>
          <w:b/>
          <w:color w:val="000000"/>
        </w:rPr>
        <w:t xml:space="preserve">Plataforma virtual </w:t>
      </w:r>
    </w:p>
    <w:p w14:paraId="0E962D04" w14:textId="77777777" w:rsidR="00F64B8F" w:rsidRPr="00F64B8F"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 xml:space="preserve">Como parte de este proyecto se tiene previsto desarrollar una plataforma virtual cerrada y segura que estará al servicio de todas las asociaciones y productores de concha de abanico de la bahía de Sechura. </w:t>
      </w:r>
    </w:p>
    <w:p w14:paraId="3249A0D6" w14:textId="77777777"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4DABF5ED" w14:textId="2A7F95E6" w:rsidR="00F64B8F" w:rsidRPr="00F64B8F"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 xml:space="preserve">“Esta plataforma </w:t>
      </w:r>
      <w:r w:rsidR="00DD0D62">
        <w:rPr>
          <w:rFonts w:ascii="Century Gothic" w:eastAsia="Century Gothic" w:hAnsi="Century Gothic" w:cs="Century Gothic"/>
          <w:color w:val="000000"/>
        </w:rPr>
        <w:t xml:space="preserve">que no estará </w:t>
      </w:r>
      <w:r w:rsidRPr="00F64B8F">
        <w:rPr>
          <w:rFonts w:ascii="Century Gothic" w:eastAsia="Century Gothic" w:hAnsi="Century Gothic" w:cs="Century Gothic"/>
          <w:color w:val="000000"/>
        </w:rPr>
        <w:t xml:space="preserve">abierta al público, </w:t>
      </w:r>
      <w:r w:rsidR="00DD0D62">
        <w:rPr>
          <w:rFonts w:ascii="Century Gothic" w:eastAsia="Century Gothic" w:hAnsi="Century Gothic" w:cs="Century Gothic"/>
          <w:color w:val="000000"/>
        </w:rPr>
        <w:t xml:space="preserve">solo podrá ser utilizada mediante un </w:t>
      </w:r>
      <w:r w:rsidRPr="00F64B8F">
        <w:rPr>
          <w:rFonts w:ascii="Century Gothic" w:eastAsia="Century Gothic" w:hAnsi="Century Gothic" w:cs="Century Gothic"/>
          <w:color w:val="000000"/>
        </w:rPr>
        <w:t xml:space="preserve">acceso </w:t>
      </w:r>
      <w:r w:rsidR="00DD0D62">
        <w:rPr>
          <w:rFonts w:ascii="Century Gothic" w:eastAsia="Century Gothic" w:hAnsi="Century Gothic" w:cs="Century Gothic"/>
          <w:color w:val="000000"/>
        </w:rPr>
        <w:t xml:space="preserve">que será entregado a </w:t>
      </w:r>
      <w:r w:rsidRPr="00F64B8F">
        <w:rPr>
          <w:rFonts w:ascii="Century Gothic" w:eastAsia="Century Gothic" w:hAnsi="Century Gothic" w:cs="Century Gothic"/>
          <w:color w:val="000000"/>
        </w:rPr>
        <w:t xml:space="preserve">cada presidente de asociación para que puedan monitorear sus concesiones y su evaluación </w:t>
      </w:r>
      <w:r w:rsidR="00DD0D62">
        <w:rPr>
          <w:rFonts w:ascii="Century Gothic" w:eastAsia="Century Gothic" w:hAnsi="Century Gothic" w:cs="Century Gothic"/>
          <w:color w:val="000000"/>
        </w:rPr>
        <w:t xml:space="preserve">de </w:t>
      </w:r>
      <w:r w:rsidRPr="00F64B8F">
        <w:rPr>
          <w:rFonts w:ascii="Century Gothic" w:eastAsia="Century Gothic" w:hAnsi="Century Gothic" w:cs="Century Gothic"/>
          <w:color w:val="000000"/>
        </w:rPr>
        <w:t xml:space="preserve">stock”, señaló Nina Choquehuayta. </w:t>
      </w:r>
    </w:p>
    <w:p w14:paraId="59066A2D" w14:textId="77777777" w:rsidR="00F64B8F" w:rsidRPr="00DD0D62"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66241B75" w14:textId="77777777" w:rsidR="00F64B8F" w:rsidRPr="00F64B8F"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64B8F">
        <w:rPr>
          <w:rFonts w:ascii="Century Gothic" w:eastAsia="Century Gothic" w:hAnsi="Century Gothic" w:cs="Century Gothic"/>
          <w:color w:val="000000"/>
        </w:rPr>
        <w:t xml:space="preserve">Este proyecto que tiene como objetivo mejorar la producción y cosecha del cultivo de concha de abanico es una propuesta de la Universidad Católica San Pablo de Arequipa en alianza estratégica con el CITEpesquero Piura, la empresa Veox S.A.C, la Universidad Federal ABC de Sao Pablo, Brasil y el Instituto de Sistemas y Robótica de Lisboa, Portugal, el mismo que es financiado gracias al </w:t>
      </w:r>
      <w:r w:rsidRPr="00F64B8F">
        <w:rPr>
          <w:rFonts w:ascii="Century Gothic" w:eastAsia="Century Gothic" w:hAnsi="Century Gothic" w:cs="Century Gothic"/>
          <w:color w:val="000000"/>
        </w:rPr>
        <w:lastRenderedPageBreak/>
        <w:t>Fondo Concursable FONDECYT (Fondo Nacional de Desarrollo Científico, Tecnológico y de Innovación Tecnológica).</w:t>
      </w:r>
    </w:p>
    <w:p w14:paraId="3FAC30B2" w14:textId="77777777" w:rsidR="00DD0D62" w:rsidRPr="00DD0D62" w:rsidRDefault="00DD0D62"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16F891FD" w14:textId="39CDC946" w:rsidR="00F64B8F" w:rsidRPr="009656A0"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b/>
          <w:color w:val="000000"/>
        </w:rPr>
      </w:pPr>
      <w:r w:rsidRPr="009656A0">
        <w:rPr>
          <w:rFonts w:ascii="Century Gothic" w:eastAsia="Century Gothic" w:hAnsi="Century Gothic" w:cs="Century Gothic"/>
          <w:b/>
          <w:color w:val="000000"/>
        </w:rPr>
        <w:t>Dato</w:t>
      </w:r>
    </w:p>
    <w:p w14:paraId="59054D3B" w14:textId="537E33CA" w:rsidR="00F64B8F" w:rsidRPr="00F64B8F" w:rsidRDefault="00424355" w:rsidP="00F64B8F">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desarrollo de dicha</w:t>
      </w:r>
      <w:r w:rsidR="00F64B8F" w:rsidRPr="00F64B8F">
        <w:rPr>
          <w:rFonts w:ascii="Century Gothic" w:eastAsia="Century Gothic" w:hAnsi="Century Gothic" w:cs="Century Gothic"/>
          <w:color w:val="000000"/>
        </w:rPr>
        <w:t xml:space="preserve"> plataforma virtual y la creación de un robot submarino es un proyecto que se ha </w:t>
      </w:r>
      <w:r>
        <w:rPr>
          <w:rFonts w:ascii="Century Gothic" w:eastAsia="Century Gothic" w:hAnsi="Century Gothic" w:cs="Century Gothic"/>
          <w:color w:val="000000"/>
        </w:rPr>
        <w:t>iniciado en cuatro</w:t>
      </w:r>
      <w:r w:rsidR="00F64B8F" w:rsidRPr="00F64B8F">
        <w:rPr>
          <w:rFonts w:ascii="Century Gothic" w:eastAsia="Century Gothic" w:hAnsi="Century Gothic" w:cs="Century Gothic"/>
          <w:color w:val="000000"/>
        </w:rPr>
        <w:t xml:space="preserve"> asociaciones de la bahía de Sechura, sin embargo, se espera que sea replicado a todos los productores </w:t>
      </w:r>
      <w:r>
        <w:rPr>
          <w:rFonts w:ascii="Century Gothic" w:eastAsia="Century Gothic" w:hAnsi="Century Gothic" w:cs="Century Gothic"/>
          <w:color w:val="000000"/>
        </w:rPr>
        <w:t>de concha de abanico.</w:t>
      </w:r>
    </w:p>
    <w:p w14:paraId="3B70C4B9" w14:textId="77777777" w:rsidR="00F64B8F" w:rsidRPr="00424355" w:rsidRDefault="00F64B8F" w:rsidP="00F64B8F">
      <w:pPr>
        <w:pBdr>
          <w:top w:val="nil"/>
          <w:left w:val="nil"/>
          <w:bottom w:val="nil"/>
          <w:right w:val="nil"/>
          <w:between w:val="nil"/>
        </w:pBdr>
        <w:spacing w:after="0" w:line="240" w:lineRule="auto"/>
        <w:jc w:val="both"/>
        <w:rPr>
          <w:rFonts w:ascii="Century Gothic" w:eastAsia="Century Gothic" w:hAnsi="Century Gothic" w:cs="Century Gothic"/>
          <w:color w:val="000000"/>
          <w:sz w:val="16"/>
        </w:rPr>
      </w:pPr>
    </w:p>
    <w:p w14:paraId="20926E3E" w14:textId="26FC3D1C" w:rsidR="0099511C" w:rsidRDefault="0099511C">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35C118B0" w14:textId="26AF5860" w:rsidR="00831853" w:rsidRPr="009656A0" w:rsidRDefault="009656A0" w:rsidP="009656A0">
      <w:pPr>
        <w:pBdr>
          <w:top w:val="nil"/>
          <w:left w:val="nil"/>
          <w:bottom w:val="nil"/>
          <w:right w:val="nil"/>
          <w:between w:val="nil"/>
        </w:pBdr>
        <w:spacing w:after="0" w:line="240" w:lineRule="auto"/>
        <w:jc w:val="right"/>
        <w:rPr>
          <w:rFonts w:ascii="Century Gothic" w:eastAsia="Century Gothic" w:hAnsi="Century Gothic" w:cs="Century Gothic"/>
          <w:b/>
          <w:color w:val="000000"/>
        </w:rPr>
      </w:pPr>
      <w:r w:rsidRPr="009656A0">
        <w:rPr>
          <w:rFonts w:ascii="Century Gothic" w:eastAsia="Century Gothic" w:hAnsi="Century Gothic" w:cs="Century Gothic"/>
          <w:b/>
          <w:color w:val="000000"/>
        </w:rPr>
        <w:t>Piura, 11 de enero 2021</w:t>
      </w:r>
    </w:p>
    <w:p w14:paraId="4AE72C0C" w14:textId="2191A712" w:rsidR="002E223D" w:rsidRDefault="002E223D">
      <w:pPr>
        <w:pBdr>
          <w:top w:val="nil"/>
          <w:left w:val="nil"/>
          <w:bottom w:val="nil"/>
          <w:right w:val="nil"/>
          <w:between w:val="nil"/>
        </w:pBdr>
        <w:spacing w:after="0" w:line="240" w:lineRule="auto"/>
        <w:jc w:val="both"/>
        <w:rPr>
          <w:rFonts w:ascii="Century Gothic" w:eastAsia="Century Gothic" w:hAnsi="Century Gothic" w:cs="Century Gothic"/>
          <w:b/>
          <w:bCs/>
          <w:color w:val="000000"/>
        </w:rPr>
      </w:pPr>
    </w:p>
    <w:p w14:paraId="3F04931A" w14:textId="7C4A17D8" w:rsidR="002E223D" w:rsidRDefault="002E223D">
      <w:pPr>
        <w:pBdr>
          <w:top w:val="nil"/>
          <w:left w:val="nil"/>
          <w:bottom w:val="nil"/>
          <w:right w:val="nil"/>
          <w:between w:val="nil"/>
        </w:pBdr>
        <w:spacing w:after="0" w:line="240" w:lineRule="auto"/>
        <w:jc w:val="both"/>
        <w:rPr>
          <w:rFonts w:ascii="Century Gothic" w:eastAsia="Century Gothic" w:hAnsi="Century Gothic" w:cs="Century Gothic"/>
          <w:b/>
          <w:bCs/>
          <w:color w:val="000000"/>
        </w:rPr>
      </w:pPr>
    </w:p>
    <w:p w14:paraId="08FFDBB8" w14:textId="5A9CD2D8" w:rsidR="002E223D" w:rsidRDefault="002E223D">
      <w:pPr>
        <w:pBdr>
          <w:top w:val="nil"/>
          <w:left w:val="nil"/>
          <w:bottom w:val="nil"/>
          <w:right w:val="nil"/>
          <w:between w:val="nil"/>
        </w:pBdr>
        <w:spacing w:after="0" w:line="240" w:lineRule="auto"/>
        <w:jc w:val="both"/>
        <w:rPr>
          <w:rFonts w:ascii="Century Gothic" w:eastAsia="Century Gothic" w:hAnsi="Century Gothic" w:cs="Century Gothic"/>
          <w:b/>
          <w:bCs/>
          <w:color w:val="000000"/>
        </w:rPr>
      </w:pPr>
    </w:p>
    <w:sectPr w:rsidR="002E223D">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6061" w14:textId="77777777" w:rsidR="00183FF3" w:rsidRDefault="00183FF3">
      <w:pPr>
        <w:spacing w:after="0" w:line="240" w:lineRule="auto"/>
      </w:pPr>
      <w:r>
        <w:separator/>
      </w:r>
    </w:p>
  </w:endnote>
  <w:endnote w:type="continuationSeparator" w:id="0">
    <w:p w14:paraId="2CAEC598" w14:textId="77777777" w:rsidR="00183FF3" w:rsidRDefault="0018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1379" w14:textId="77777777" w:rsidR="009E2171" w:rsidRDefault="008C5A73">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09BBF8D4" w14:textId="77777777" w:rsidR="009E2171" w:rsidRDefault="009E2171">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F5FD" w14:textId="77777777" w:rsidR="00183FF3" w:rsidRDefault="00183FF3">
      <w:pPr>
        <w:spacing w:after="0" w:line="240" w:lineRule="auto"/>
      </w:pPr>
      <w:r>
        <w:separator/>
      </w:r>
    </w:p>
  </w:footnote>
  <w:footnote w:type="continuationSeparator" w:id="0">
    <w:p w14:paraId="54DD047E" w14:textId="77777777" w:rsidR="00183FF3" w:rsidRDefault="00183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EA5C" w14:textId="77777777" w:rsidR="009E2171" w:rsidRDefault="008C5A73">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17D02533" wp14:editId="272FE1BB">
          <wp:simplePos x="0" y="0"/>
          <wp:positionH relativeFrom="column">
            <wp:posOffset>-342896</wp:posOffset>
          </wp:positionH>
          <wp:positionV relativeFrom="paragraph">
            <wp:posOffset>-234945</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2F3925B" wp14:editId="05429B95">
          <wp:simplePos x="0" y="0"/>
          <wp:positionH relativeFrom="column">
            <wp:posOffset>4681220</wp:posOffset>
          </wp:positionH>
          <wp:positionV relativeFrom="paragraph">
            <wp:posOffset>-403856</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1D9A83D8" w14:textId="77777777" w:rsidR="009E2171" w:rsidRDefault="008C5A73">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6757539B" wp14:editId="1C2F4F28">
              <wp:simplePos x="0" y="0"/>
              <wp:positionH relativeFrom="column">
                <wp:posOffset>-901695</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DFC6FF2" w14:textId="77777777" w:rsidR="00856FA6" w:rsidRDefault="00183F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57539B"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DFC6FF2" w14:textId="77777777" w:rsidR="00856FA6" w:rsidRDefault="009834CB">
                    <w:pPr>
                      <w:spacing w:after="0" w:line="240" w:lineRule="auto"/>
                      <w:textDirection w:val="btLr"/>
                    </w:pPr>
                  </w:p>
                </w:txbxContent>
              </v:textbox>
            </v:rect>
          </w:pict>
        </mc:Fallback>
      </mc:AlternateContent>
    </w:r>
  </w:p>
  <w:p w14:paraId="4BC0C6B1" w14:textId="77777777" w:rsidR="009E2171" w:rsidRDefault="009E2171">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66AC7"/>
    <w:multiLevelType w:val="hybridMultilevel"/>
    <w:tmpl w:val="41188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71"/>
    <w:rsid w:val="0000398B"/>
    <w:rsid w:val="00094BC6"/>
    <w:rsid w:val="000A7021"/>
    <w:rsid w:val="000B2B7F"/>
    <w:rsid w:val="000D3C70"/>
    <w:rsid w:val="00147904"/>
    <w:rsid w:val="00183FF3"/>
    <w:rsid w:val="001A015F"/>
    <w:rsid w:val="001C424B"/>
    <w:rsid w:val="002E223D"/>
    <w:rsid w:val="003A4357"/>
    <w:rsid w:val="003A51C8"/>
    <w:rsid w:val="003A53A2"/>
    <w:rsid w:val="003D283F"/>
    <w:rsid w:val="003D74F3"/>
    <w:rsid w:val="003E5746"/>
    <w:rsid w:val="00410C71"/>
    <w:rsid w:val="00424355"/>
    <w:rsid w:val="004441AF"/>
    <w:rsid w:val="00457248"/>
    <w:rsid w:val="0046314C"/>
    <w:rsid w:val="00485517"/>
    <w:rsid w:val="004C673A"/>
    <w:rsid w:val="004F0F90"/>
    <w:rsid w:val="005357AC"/>
    <w:rsid w:val="005847AF"/>
    <w:rsid w:val="005B6A33"/>
    <w:rsid w:val="005D6190"/>
    <w:rsid w:val="00612EE3"/>
    <w:rsid w:val="0063172A"/>
    <w:rsid w:val="0078228E"/>
    <w:rsid w:val="007D17C1"/>
    <w:rsid w:val="007E0904"/>
    <w:rsid w:val="007F0AF9"/>
    <w:rsid w:val="007F302D"/>
    <w:rsid w:val="00831853"/>
    <w:rsid w:val="00835F81"/>
    <w:rsid w:val="00836439"/>
    <w:rsid w:val="00845AE6"/>
    <w:rsid w:val="00861B88"/>
    <w:rsid w:val="00882D89"/>
    <w:rsid w:val="008C5A73"/>
    <w:rsid w:val="00922820"/>
    <w:rsid w:val="0092604B"/>
    <w:rsid w:val="009366C5"/>
    <w:rsid w:val="00940AD6"/>
    <w:rsid w:val="009444FF"/>
    <w:rsid w:val="009656A0"/>
    <w:rsid w:val="0096598C"/>
    <w:rsid w:val="009834CB"/>
    <w:rsid w:val="0099511C"/>
    <w:rsid w:val="009E2171"/>
    <w:rsid w:val="009E69FB"/>
    <w:rsid w:val="00A22D0D"/>
    <w:rsid w:val="00A334C5"/>
    <w:rsid w:val="00AC008F"/>
    <w:rsid w:val="00B17B01"/>
    <w:rsid w:val="00B93636"/>
    <w:rsid w:val="00BB1F3E"/>
    <w:rsid w:val="00BC7262"/>
    <w:rsid w:val="00CB5560"/>
    <w:rsid w:val="00CF14C1"/>
    <w:rsid w:val="00D76340"/>
    <w:rsid w:val="00DA5C9B"/>
    <w:rsid w:val="00DB042A"/>
    <w:rsid w:val="00DD0D62"/>
    <w:rsid w:val="00F21C30"/>
    <w:rsid w:val="00F23EE8"/>
    <w:rsid w:val="00F56041"/>
    <w:rsid w:val="00F64B8F"/>
    <w:rsid w:val="00F84836"/>
    <w:rsid w:val="00FE0A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735"/>
  <w15:docId w15:val="{6F47C4F2-4956-4B0F-B05C-BB37CB79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1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Instituto Tecnologico de la Producción ITP</cp:lastModifiedBy>
  <cp:revision>2</cp:revision>
  <cp:lastPrinted>2021-12-13T21:08:00Z</cp:lastPrinted>
  <dcterms:created xsi:type="dcterms:W3CDTF">2022-01-11T14:07:00Z</dcterms:created>
  <dcterms:modified xsi:type="dcterms:W3CDTF">2022-01-11T14:07:00Z</dcterms:modified>
</cp:coreProperties>
</file>