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F19B" w14:textId="4EB39412" w:rsidR="00DC3160" w:rsidRPr="00DC3160" w:rsidRDefault="00DC3160" w:rsidP="00DC3160">
      <w:pPr>
        <w:jc w:val="center"/>
        <w:rPr>
          <w:rFonts w:ascii="Arial" w:hAnsi="Arial" w:cs="Arial"/>
          <w:b/>
          <w:u w:val="single"/>
        </w:rPr>
      </w:pPr>
      <w:r w:rsidRPr="00DC3160">
        <w:rPr>
          <w:rFonts w:ascii="Arial" w:hAnsi="Arial" w:cs="Arial"/>
          <w:b/>
          <w:u w:val="single"/>
        </w:rPr>
        <w:t>NOTA DE PRENSA</w:t>
      </w:r>
    </w:p>
    <w:p w14:paraId="5F10AC72" w14:textId="115B77E6" w:rsidR="00DC3160" w:rsidRPr="00B412AF" w:rsidRDefault="00FF4C60" w:rsidP="00FF4C60">
      <w:pPr>
        <w:jc w:val="center"/>
        <w:rPr>
          <w:rFonts w:ascii="Arial" w:hAnsi="Arial" w:cs="Arial"/>
          <w:b/>
          <w:sz w:val="28"/>
          <w:szCs w:val="28"/>
        </w:rPr>
      </w:pPr>
      <w:r w:rsidRPr="00B412AF">
        <w:rPr>
          <w:rFonts w:ascii="Arial" w:hAnsi="Arial" w:cs="Arial"/>
          <w:b/>
          <w:sz w:val="28"/>
          <w:szCs w:val="28"/>
        </w:rPr>
        <w:t xml:space="preserve">Ministro Prado: </w:t>
      </w:r>
      <w:r w:rsidR="00B412AF" w:rsidRPr="00B412AF">
        <w:rPr>
          <w:rFonts w:ascii="Arial" w:hAnsi="Arial" w:cs="Arial"/>
          <w:b/>
          <w:sz w:val="28"/>
          <w:szCs w:val="28"/>
        </w:rPr>
        <w:t>Fomentaremos inversión privada por cerca de US$500 millones para nueve parques industriales</w:t>
      </w:r>
    </w:p>
    <w:p w14:paraId="2088F863" w14:textId="16793834" w:rsidR="00FF4C60" w:rsidRPr="00B412AF" w:rsidRDefault="00B412AF" w:rsidP="00A506A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Titular de Produce también indicó que para</w:t>
      </w:r>
      <w:r w:rsidR="005B47B4">
        <w:rPr>
          <w:rFonts w:ascii="Arial" w:hAnsi="Arial" w:cs="Arial"/>
          <w:b w:val="0"/>
          <w:color w:val="auto"/>
          <w:sz w:val="24"/>
          <w:szCs w:val="24"/>
        </w:rPr>
        <w:t xml:space="preserve"> incrementa</w:t>
      </w:r>
      <w:r>
        <w:rPr>
          <w:rFonts w:ascii="Arial" w:hAnsi="Arial" w:cs="Arial"/>
          <w:b w:val="0"/>
          <w:color w:val="auto"/>
          <w:sz w:val="24"/>
          <w:szCs w:val="24"/>
        </w:rPr>
        <w:t>r este año el consumo de pescado en las mesas peruanas se prevé colocar 2.5 millones de kilos de productos hidrobiológicos a precios módicos.</w:t>
      </w:r>
    </w:p>
    <w:p w14:paraId="680117E4" w14:textId="77777777" w:rsidR="00B412AF" w:rsidRPr="00B412AF" w:rsidRDefault="00B412AF" w:rsidP="00B412AF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14:paraId="5EAD7522" w14:textId="7967A9B0" w:rsidR="006F7844" w:rsidRDefault="00FF4C60" w:rsidP="000C4D9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ministro de la Producción, Jorge Luis Prado</w:t>
      </w:r>
      <w:r w:rsidR="000433FA">
        <w:rPr>
          <w:rFonts w:ascii="Arial" w:hAnsi="Arial" w:cs="Arial"/>
          <w:bCs/>
          <w:sz w:val="24"/>
          <w:szCs w:val="24"/>
        </w:rPr>
        <w:t xml:space="preserve"> Palomino</w:t>
      </w:r>
      <w:r>
        <w:rPr>
          <w:rFonts w:ascii="Arial" w:hAnsi="Arial" w:cs="Arial"/>
          <w:bCs/>
          <w:sz w:val="24"/>
          <w:szCs w:val="24"/>
        </w:rPr>
        <w:t>,</w:t>
      </w:r>
      <w:r w:rsidR="00B412AF">
        <w:rPr>
          <w:rFonts w:ascii="Arial" w:hAnsi="Arial" w:cs="Arial"/>
          <w:bCs/>
          <w:sz w:val="24"/>
          <w:szCs w:val="24"/>
        </w:rPr>
        <w:t xml:space="preserve"> sostuvo</w:t>
      </w:r>
      <w:r w:rsidR="00C63717">
        <w:rPr>
          <w:rFonts w:ascii="Arial" w:hAnsi="Arial" w:cs="Arial"/>
          <w:bCs/>
          <w:sz w:val="24"/>
          <w:szCs w:val="24"/>
        </w:rPr>
        <w:t xml:space="preserve"> </w:t>
      </w:r>
      <w:r w:rsidR="006F7844">
        <w:rPr>
          <w:rFonts w:ascii="Arial" w:hAnsi="Arial" w:cs="Arial"/>
          <w:bCs/>
          <w:sz w:val="24"/>
          <w:szCs w:val="24"/>
        </w:rPr>
        <w:t xml:space="preserve">que en su gestión se promoverá la inversión privada para impulsar la construcción de nueve parques industriales en igual número de regiones del país. </w:t>
      </w:r>
    </w:p>
    <w:p w14:paraId="661D8FFD" w14:textId="540AAFDF" w:rsidR="000C4D9C" w:rsidRDefault="006F7844" w:rsidP="000C4D9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B412AF">
        <w:rPr>
          <w:rFonts w:ascii="Arial" w:hAnsi="Arial" w:cs="Arial"/>
          <w:bCs/>
          <w:sz w:val="24"/>
          <w:szCs w:val="24"/>
        </w:rPr>
        <w:t>urante</w:t>
      </w:r>
      <w:r>
        <w:rPr>
          <w:rFonts w:ascii="Arial" w:hAnsi="Arial" w:cs="Arial"/>
          <w:bCs/>
          <w:sz w:val="24"/>
          <w:szCs w:val="24"/>
        </w:rPr>
        <w:t xml:space="preserve"> la exposición de la</w:t>
      </w:r>
      <w:r w:rsidRPr="006F7844">
        <w:rPr>
          <w:rFonts w:ascii="Arial" w:hAnsi="Arial" w:cs="Arial"/>
          <w:bCs/>
          <w:sz w:val="24"/>
          <w:szCs w:val="24"/>
        </w:rPr>
        <w:t xml:space="preserve"> Política General del Gobierno y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Pr="006F7844">
        <w:rPr>
          <w:rFonts w:ascii="Arial" w:hAnsi="Arial" w:cs="Arial"/>
          <w:bCs/>
          <w:sz w:val="24"/>
          <w:szCs w:val="24"/>
        </w:rPr>
        <w:t>solicit</w:t>
      </w:r>
      <w:r>
        <w:rPr>
          <w:rFonts w:ascii="Arial" w:hAnsi="Arial" w:cs="Arial"/>
          <w:bCs/>
          <w:sz w:val="24"/>
          <w:szCs w:val="24"/>
        </w:rPr>
        <w:t>ud</w:t>
      </w:r>
      <w:r w:rsidRPr="006F784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6F7844">
        <w:rPr>
          <w:rFonts w:ascii="Arial" w:hAnsi="Arial" w:cs="Arial"/>
          <w:bCs/>
          <w:sz w:val="24"/>
          <w:szCs w:val="24"/>
        </w:rPr>
        <w:t>el voto de confianz</w:t>
      </w:r>
      <w:r>
        <w:rPr>
          <w:rFonts w:ascii="Arial" w:hAnsi="Arial" w:cs="Arial"/>
          <w:bCs/>
          <w:sz w:val="24"/>
          <w:szCs w:val="24"/>
        </w:rPr>
        <w:t>a al Congreso de la República, el titular de Produce detalló que en este quinquenio se prevé alcanzar una inversión privada por US$ 496 millones, que a su vez generará 73 000 empleos directos e indirectos.</w:t>
      </w:r>
    </w:p>
    <w:p w14:paraId="4797E150" w14:textId="258CA610" w:rsidR="000C4D9C" w:rsidRDefault="006F7844" w:rsidP="000C4D9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“Estamos priorizando </w:t>
      </w:r>
      <w:r w:rsidR="000C4D9C" w:rsidRPr="00657AEE">
        <w:rPr>
          <w:rFonts w:ascii="Arial" w:eastAsia="Calibri" w:hAnsi="Arial" w:cs="Arial"/>
          <w:sz w:val="24"/>
          <w:szCs w:val="24"/>
        </w:rPr>
        <w:t>las regiones de Moquegua, Tacna, Ica, Ucayali, Puno, Amazonas, Piura y Arequipa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0C4D9C" w:rsidRPr="00657AEE">
        <w:rPr>
          <w:rFonts w:ascii="Arial" w:eastAsia="Calibri" w:hAnsi="Arial" w:cs="Arial"/>
          <w:sz w:val="24"/>
          <w:szCs w:val="24"/>
        </w:rPr>
        <w:t xml:space="preserve">Además, este año </w:t>
      </w:r>
      <w:r>
        <w:rPr>
          <w:rFonts w:ascii="Arial" w:eastAsia="Calibri" w:hAnsi="Arial" w:cs="Arial"/>
          <w:sz w:val="24"/>
          <w:szCs w:val="24"/>
        </w:rPr>
        <w:t>esperamos</w:t>
      </w:r>
      <w:r w:rsidR="000C4D9C" w:rsidRPr="00657AEE">
        <w:rPr>
          <w:rFonts w:ascii="Arial" w:eastAsia="Calibri" w:hAnsi="Arial" w:cs="Arial"/>
          <w:sz w:val="24"/>
          <w:szCs w:val="24"/>
        </w:rPr>
        <w:t xml:space="preserve"> adjudicar el proyecto del Parque Industrial de Ancón, generando con este una inversión privada de US$ 762 millones, 120 mil empleos directos e indirectos y exportaciones por US$ 280 millones</w:t>
      </w:r>
      <w:r>
        <w:rPr>
          <w:rFonts w:ascii="Arial" w:eastAsia="Calibri" w:hAnsi="Arial" w:cs="Arial"/>
          <w:sz w:val="24"/>
          <w:szCs w:val="24"/>
        </w:rPr>
        <w:t xml:space="preserve">”, aseguró. </w:t>
      </w:r>
    </w:p>
    <w:p w14:paraId="55EF25B6" w14:textId="617050F2" w:rsidR="000C4D9C" w:rsidRDefault="000C4D9C" w:rsidP="000C4D9C">
      <w:pPr>
        <w:spacing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DFDFD"/>
        </w:rPr>
      </w:pPr>
      <w:r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>P</w:t>
      </w:r>
      <w:r w:rsidR="005A7666"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>or otro lado, p</w:t>
      </w:r>
      <w:r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 xml:space="preserve">ara contrarrestar la falta de liquidez de las MIPYME, con el Programa de Emergencia Empresarial </w:t>
      </w:r>
      <w:r w:rsidR="005A7666"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 xml:space="preserve">se cofinanciará </w:t>
      </w:r>
      <w:r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>proyectos enfocados en adopción tecnológica, mejora de calidad y equipamiento de mercados de abastos por S/ 64</w:t>
      </w:r>
      <w:r w:rsidR="00C63717">
        <w:rPr>
          <w:rFonts w:ascii="Arial" w:eastAsia="Calibri" w:hAnsi="Arial" w:cs="Arial"/>
          <w:sz w:val="24"/>
          <w:szCs w:val="24"/>
          <w:shd w:val="clear" w:color="auto" w:fill="FDFDFD"/>
        </w:rPr>
        <w:t>.</w:t>
      </w:r>
      <w:r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 xml:space="preserve">6 millones para beneficiar a 1947 </w:t>
      </w:r>
      <w:proofErr w:type="spellStart"/>
      <w:r w:rsidR="005A7666"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>mypes</w:t>
      </w:r>
      <w:proofErr w:type="spellEnd"/>
      <w:r w:rsidRPr="005A7666">
        <w:rPr>
          <w:rFonts w:ascii="Arial" w:eastAsia="Calibri" w:hAnsi="Arial" w:cs="Arial"/>
          <w:sz w:val="24"/>
          <w:szCs w:val="24"/>
          <w:shd w:val="clear" w:color="auto" w:fill="FDFDFD"/>
        </w:rPr>
        <w:t xml:space="preserve"> a nivel nacional.</w:t>
      </w:r>
      <w:r w:rsidRPr="00657AEE">
        <w:rPr>
          <w:rFonts w:ascii="Arial" w:eastAsia="Calibri" w:hAnsi="Arial" w:cs="Arial"/>
          <w:sz w:val="24"/>
          <w:szCs w:val="24"/>
          <w:shd w:val="clear" w:color="auto" w:fill="FDFDFD"/>
        </w:rPr>
        <w:t xml:space="preserve"> </w:t>
      </w:r>
    </w:p>
    <w:p w14:paraId="639F1DFD" w14:textId="192BFFAD" w:rsidR="006F7844" w:rsidRPr="006F7844" w:rsidRDefault="005B47B4" w:rsidP="000C4D9C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DFDFD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DFDFD"/>
        </w:rPr>
        <w:t>Mayor c</w:t>
      </w:r>
      <w:r w:rsidR="006F7844" w:rsidRPr="006F7844">
        <w:rPr>
          <w:rFonts w:ascii="Arial" w:eastAsia="Calibri" w:hAnsi="Arial" w:cs="Arial"/>
          <w:b/>
          <w:bCs/>
          <w:sz w:val="24"/>
          <w:szCs w:val="24"/>
          <w:shd w:val="clear" w:color="auto" w:fill="FDFDFD"/>
        </w:rPr>
        <w:t xml:space="preserve">onsumo de pescado </w:t>
      </w:r>
    </w:p>
    <w:p w14:paraId="66059794" w14:textId="77777777" w:rsidR="008857EE" w:rsidRDefault="008857EE" w:rsidP="00657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ministro Palomino aseguró que se</w:t>
      </w:r>
      <w:r w:rsidR="00657AEE" w:rsidRPr="00657AEE">
        <w:rPr>
          <w:rFonts w:ascii="Arial" w:hAnsi="Arial" w:cs="Arial"/>
          <w:sz w:val="24"/>
          <w:szCs w:val="24"/>
        </w:rPr>
        <w:t xml:space="preserve"> continua</w:t>
      </w:r>
      <w:r>
        <w:rPr>
          <w:rFonts w:ascii="Arial" w:hAnsi="Arial" w:cs="Arial"/>
          <w:sz w:val="24"/>
          <w:szCs w:val="24"/>
        </w:rPr>
        <w:t>rá</w:t>
      </w:r>
      <w:r w:rsidR="00657AEE" w:rsidRPr="00657AEE">
        <w:rPr>
          <w:rFonts w:ascii="Arial" w:hAnsi="Arial" w:cs="Arial"/>
          <w:sz w:val="24"/>
          <w:szCs w:val="24"/>
        </w:rPr>
        <w:t xml:space="preserve"> fomentando el consumo de productos pesqueros en todas las regiones del país a través de tres estrategias, </w:t>
      </w:r>
      <w:proofErr w:type="spellStart"/>
      <w:r w:rsidR="00657AEE" w:rsidRPr="00657AEE">
        <w:rPr>
          <w:rFonts w:ascii="Arial" w:hAnsi="Arial" w:cs="Arial"/>
          <w:sz w:val="24"/>
          <w:szCs w:val="24"/>
        </w:rPr>
        <w:t>PROMPescado</w:t>
      </w:r>
      <w:proofErr w:type="spellEnd"/>
      <w:r w:rsidR="00657AEE" w:rsidRPr="00657AEE">
        <w:rPr>
          <w:rFonts w:ascii="Arial" w:hAnsi="Arial" w:cs="Arial"/>
          <w:sz w:val="24"/>
          <w:szCs w:val="24"/>
        </w:rPr>
        <w:t xml:space="preserve">, de la Red a la Mesa y </w:t>
      </w:r>
      <w:proofErr w:type="spellStart"/>
      <w:r w:rsidR="00657AEE" w:rsidRPr="00657AEE">
        <w:rPr>
          <w:rFonts w:ascii="Arial" w:hAnsi="Arial" w:cs="Arial"/>
          <w:sz w:val="24"/>
          <w:szCs w:val="24"/>
        </w:rPr>
        <w:t>PESCAEduca</w:t>
      </w:r>
      <w:proofErr w:type="spellEnd"/>
      <w:r w:rsidR="00657AEE" w:rsidRPr="00657AEE">
        <w:rPr>
          <w:rFonts w:ascii="Arial" w:hAnsi="Arial" w:cs="Arial"/>
          <w:sz w:val="24"/>
          <w:szCs w:val="24"/>
        </w:rPr>
        <w:t xml:space="preserve">, y dos intervenciones, Pescado en mi Comedor y </w:t>
      </w:r>
      <w:proofErr w:type="spellStart"/>
      <w:r w:rsidR="00657AEE" w:rsidRPr="00657AEE">
        <w:rPr>
          <w:rFonts w:ascii="Arial" w:hAnsi="Arial" w:cs="Arial"/>
          <w:sz w:val="24"/>
          <w:szCs w:val="24"/>
        </w:rPr>
        <w:t>PESCANutrición</w:t>
      </w:r>
      <w:proofErr w:type="spellEnd"/>
      <w:r w:rsidR="00657AEE" w:rsidRPr="00657AEE">
        <w:rPr>
          <w:rFonts w:ascii="Arial" w:hAnsi="Arial" w:cs="Arial"/>
          <w:sz w:val="24"/>
          <w:szCs w:val="24"/>
        </w:rPr>
        <w:t xml:space="preserve">. </w:t>
      </w:r>
    </w:p>
    <w:p w14:paraId="008DE0D6" w14:textId="0582FC02" w:rsidR="00657AEE" w:rsidRDefault="008857EE" w:rsidP="00657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Indicó que para este 2022 se organizarán</w:t>
      </w:r>
      <w:r w:rsidR="00657AEE" w:rsidRPr="00657AEE">
        <w:rPr>
          <w:rFonts w:ascii="Arial" w:hAnsi="Arial" w:cs="Arial"/>
          <w:sz w:val="24"/>
          <w:szCs w:val="24"/>
        </w:rPr>
        <w:t xml:space="preserve"> 5900 ferias de promoción para la comercialización de 2</w:t>
      </w:r>
      <w:r w:rsidR="005A7666">
        <w:rPr>
          <w:rFonts w:ascii="Arial" w:hAnsi="Arial" w:cs="Arial"/>
          <w:sz w:val="24"/>
          <w:szCs w:val="24"/>
        </w:rPr>
        <w:t xml:space="preserve">.5 millones de </w:t>
      </w:r>
      <w:r w:rsidR="00657AEE" w:rsidRPr="00657AEE">
        <w:rPr>
          <w:rFonts w:ascii="Arial" w:hAnsi="Arial" w:cs="Arial"/>
          <w:sz w:val="24"/>
          <w:szCs w:val="24"/>
        </w:rPr>
        <w:t xml:space="preserve">kilogramos de productos hidrobiológicos y </w:t>
      </w:r>
      <w:r w:rsidR="005A7666">
        <w:rPr>
          <w:rFonts w:ascii="Arial" w:hAnsi="Arial" w:cs="Arial"/>
          <w:sz w:val="24"/>
          <w:szCs w:val="24"/>
        </w:rPr>
        <w:t>1.7 millones de l</w:t>
      </w:r>
      <w:r w:rsidR="00657AEE" w:rsidRPr="00657AEE">
        <w:rPr>
          <w:rFonts w:ascii="Arial" w:hAnsi="Arial" w:cs="Arial"/>
          <w:sz w:val="24"/>
          <w:szCs w:val="24"/>
        </w:rPr>
        <w:t xml:space="preserve">atas de conservas, con los que se generarán </w:t>
      </w:r>
      <w:r w:rsidR="005A7666">
        <w:rPr>
          <w:rFonts w:ascii="Arial" w:hAnsi="Arial" w:cs="Arial"/>
          <w:sz w:val="24"/>
          <w:szCs w:val="24"/>
        </w:rPr>
        <w:t>S/</w:t>
      </w:r>
      <w:r w:rsidR="00657AEE" w:rsidRPr="00657AEE">
        <w:rPr>
          <w:rFonts w:ascii="Arial" w:hAnsi="Arial" w:cs="Arial"/>
          <w:sz w:val="24"/>
          <w:szCs w:val="24"/>
        </w:rPr>
        <w:t xml:space="preserve">22 millones en ingresos para beneficio directo de los pescadores artesanales, productores acuícolas y </w:t>
      </w:r>
      <w:proofErr w:type="spellStart"/>
      <w:r w:rsidR="005A7666">
        <w:rPr>
          <w:rFonts w:ascii="Arial" w:hAnsi="Arial" w:cs="Arial"/>
          <w:sz w:val="24"/>
          <w:szCs w:val="24"/>
        </w:rPr>
        <w:t>mypes</w:t>
      </w:r>
      <w:proofErr w:type="spellEnd"/>
      <w:r w:rsidR="005A7666">
        <w:rPr>
          <w:rFonts w:ascii="Arial" w:hAnsi="Arial" w:cs="Arial"/>
          <w:sz w:val="24"/>
          <w:szCs w:val="24"/>
        </w:rPr>
        <w:t>.</w:t>
      </w:r>
    </w:p>
    <w:p w14:paraId="6A36CB3A" w14:textId="4479297C" w:rsidR="00657AEE" w:rsidRDefault="00657AEE" w:rsidP="00657AEE">
      <w:pPr>
        <w:jc w:val="both"/>
        <w:rPr>
          <w:rFonts w:ascii="Arial" w:hAnsi="Arial" w:cs="Arial"/>
          <w:sz w:val="24"/>
          <w:szCs w:val="24"/>
        </w:rPr>
      </w:pPr>
      <w:r w:rsidRPr="00657AEE">
        <w:rPr>
          <w:rFonts w:ascii="Arial" w:hAnsi="Arial" w:cs="Arial"/>
          <w:sz w:val="24"/>
          <w:szCs w:val="24"/>
        </w:rPr>
        <w:t xml:space="preserve">Asimismo, se gestionará la adquisición de 720 </w:t>
      </w:r>
      <w:r w:rsidR="005A7666">
        <w:rPr>
          <w:rFonts w:ascii="Arial" w:hAnsi="Arial" w:cs="Arial"/>
          <w:sz w:val="24"/>
          <w:szCs w:val="24"/>
        </w:rPr>
        <w:t>000</w:t>
      </w:r>
      <w:r w:rsidRPr="00657AEE">
        <w:rPr>
          <w:rFonts w:ascii="Arial" w:hAnsi="Arial" w:cs="Arial"/>
          <w:sz w:val="24"/>
          <w:szCs w:val="24"/>
        </w:rPr>
        <w:t xml:space="preserve"> kilogramos de productos hidrobiológicos en los canales comerciales de restaurantes, mercados mayoristas y minoristas, terminales pesqueros y otros centros de abasto.</w:t>
      </w:r>
    </w:p>
    <w:p w14:paraId="09BF0776" w14:textId="02716DF0" w:rsidR="00657AEE" w:rsidRPr="005B47B4" w:rsidRDefault="00CD7E36" w:rsidP="000C4D9C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DFDFD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DFDFD"/>
        </w:rPr>
        <w:t>C</w:t>
      </w:r>
      <w:r w:rsidR="005B47B4" w:rsidRPr="005B47B4">
        <w:rPr>
          <w:rFonts w:ascii="Arial" w:eastAsia="Calibri" w:hAnsi="Arial" w:cs="Arial"/>
          <w:b/>
          <w:bCs/>
          <w:sz w:val="24"/>
          <w:szCs w:val="24"/>
          <w:shd w:val="clear" w:color="auto" w:fill="FDFDFD"/>
        </w:rPr>
        <w:t xml:space="preserve">réditos </w:t>
      </w:r>
      <w:bookmarkStart w:id="0" w:name="_GoBack"/>
      <w:bookmarkEnd w:id="0"/>
    </w:p>
    <w:p w14:paraId="00A75948" w14:textId="77777777" w:rsidR="005B47B4" w:rsidRDefault="005B47B4" w:rsidP="000C4D9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cuanto a los créditos para pescadores, Prado Palomino destacó que para </w:t>
      </w:r>
      <w:r w:rsidR="000C4D9C" w:rsidRPr="00657AEE">
        <w:rPr>
          <w:rFonts w:ascii="Arial" w:eastAsia="Calibri" w:hAnsi="Arial" w:cs="Arial"/>
          <w:sz w:val="24"/>
          <w:szCs w:val="24"/>
        </w:rPr>
        <w:t xml:space="preserve">el presente año fiscal FONDEPES cuenta con recursos programados para otorgar 656 créditos por S/ 9.2 millones a nivel nacional. </w:t>
      </w:r>
    </w:p>
    <w:p w14:paraId="31903AD2" w14:textId="516690B4" w:rsidR="000C4D9C" w:rsidRDefault="000C4D9C" w:rsidP="000C4D9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7AEE">
        <w:rPr>
          <w:rFonts w:ascii="Arial" w:eastAsia="Calibri" w:hAnsi="Arial" w:cs="Arial"/>
          <w:sz w:val="24"/>
          <w:szCs w:val="24"/>
        </w:rPr>
        <w:lastRenderedPageBreak/>
        <w:t>Asimismo, FONDEPES tiene planificado intervenir en 30 Desembarcaderos Pesqueros Artesanales (</w:t>
      </w:r>
      <w:proofErr w:type="spellStart"/>
      <w:r w:rsidRPr="00657AEE">
        <w:rPr>
          <w:rFonts w:ascii="Arial" w:eastAsia="Calibri" w:hAnsi="Arial" w:cs="Arial"/>
          <w:sz w:val="24"/>
          <w:szCs w:val="24"/>
        </w:rPr>
        <w:t>DPAs</w:t>
      </w:r>
      <w:proofErr w:type="spellEnd"/>
      <w:r w:rsidRPr="00657AEE">
        <w:rPr>
          <w:rFonts w:ascii="Arial" w:eastAsia="Calibri" w:hAnsi="Arial" w:cs="Arial"/>
          <w:sz w:val="24"/>
          <w:szCs w:val="24"/>
        </w:rPr>
        <w:t>) hacia el 2026, logrando acortar la brecha de infraestructura pesquera artesanal en 40%</w:t>
      </w:r>
      <w:r w:rsidR="00C63717">
        <w:rPr>
          <w:rFonts w:ascii="Arial" w:eastAsia="Calibri" w:hAnsi="Arial" w:cs="Arial"/>
          <w:sz w:val="24"/>
          <w:szCs w:val="24"/>
        </w:rPr>
        <w:t xml:space="preserve"> y beneficiando a</w:t>
      </w:r>
      <w:r w:rsidRPr="00657AEE">
        <w:rPr>
          <w:rFonts w:ascii="Arial" w:eastAsia="Calibri" w:hAnsi="Arial" w:cs="Arial"/>
          <w:sz w:val="24"/>
          <w:szCs w:val="24"/>
        </w:rPr>
        <w:t xml:space="preserve"> más de 31</w:t>
      </w:r>
      <w:r w:rsidR="005B47B4">
        <w:rPr>
          <w:rFonts w:ascii="Arial" w:eastAsia="Calibri" w:hAnsi="Arial" w:cs="Arial"/>
          <w:sz w:val="24"/>
          <w:szCs w:val="24"/>
        </w:rPr>
        <w:t xml:space="preserve"> </w:t>
      </w:r>
      <w:r w:rsidRPr="00657AEE">
        <w:rPr>
          <w:rFonts w:ascii="Arial" w:eastAsia="Calibri" w:hAnsi="Arial" w:cs="Arial"/>
          <w:sz w:val="24"/>
          <w:szCs w:val="24"/>
        </w:rPr>
        <w:t>380 pescadores artesanales a nivel nacional.</w:t>
      </w:r>
    </w:p>
    <w:p w14:paraId="6A601918" w14:textId="24AC58F1" w:rsidR="002E3E7A" w:rsidRPr="002E3E7A" w:rsidRDefault="002E3E7A" w:rsidP="002E3E7A">
      <w:pPr>
        <w:jc w:val="right"/>
        <w:rPr>
          <w:rFonts w:ascii="Arial" w:hAnsi="Arial" w:cs="Arial"/>
          <w:b/>
          <w:bCs/>
        </w:rPr>
      </w:pPr>
      <w:r w:rsidRPr="002E3E7A">
        <w:rPr>
          <w:rFonts w:ascii="Arial" w:hAnsi="Arial" w:cs="Arial"/>
          <w:b/>
          <w:bCs/>
        </w:rPr>
        <w:t xml:space="preserve">Lima, </w:t>
      </w:r>
      <w:r w:rsidR="00657AEE">
        <w:rPr>
          <w:rFonts w:ascii="Arial" w:hAnsi="Arial" w:cs="Arial"/>
          <w:b/>
          <w:bCs/>
        </w:rPr>
        <w:t>marzo</w:t>
      </w:r>
      <w:r w:rsidRPr="002E3E7A">
        <w:rPr>
          <w:rFonts w:ascii="Arial" w:hAnsi="Arial" w:cs="Arial"/>
          <w:b/>
          <w:bCs/>
        </w:rPr>
        <w:t xml:space="preserve"> de 2022</w:t>
      </w:r>
    </w:p>
    <w:sectPr w:rsidR="002E3E7A" w:rsidRPr="002E3E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1469" w14:textId="77777777" w:rsidR="00867CB8" w:rsidRDefault="00867CB8" w:rsidP="00DC3160">
      <w:pPr>
        <w:spacing w:after="0" w:line="240" w:lineRule="auto"/>
      </w:pPr>
      <w:r>
        <w:separator/>
      </w:r>
    </w:p>
  </w:endnote>
  <w:endnote w:type="continuationSeparator" w:id="0">
    <w:p w14:paraId="2C2403AE" w14:textId="77777777" w:rsidR="00867CB8" w:rsidRDefault="00867CB8" w:rsidP="00D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0EED" w14:textId="77777777" w:rsidR="00867CB8" w:rsidRDefault="00867CB8" w:rsidP="00DC3160">
      <w:pPr>
        <w:spacing w:after="0" w:line="240" w:lineRule="auto"/>
      </w:pPr>
      <w:r>
        <w:separator/>
      </w:r>
    </w:p>
  </w:footnote>
  <w:footnote w:type="continuationSeparator" w:id="0">
    <w:p w14:paraId="67CDADF9" w14:textId="77777777" w:rsidR="00867CB8" w:rsidRDefault="00867CB8" w:rsidP="00D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C50F" w14:textId="68DE4FF3" w:rsidR="00FF4C60" w:rsidRDefault="00FF4C60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33AE0A39" wp14:editId="0FA9E517">
          <wp:simplePos x="0" y="0"/>
          <wp:positionH relativeFrom="page">
            <wp:posOffset>531495</wp:posOffset>
          </wp:positionH>
          <wp:positionV relativeFrom="topMargin">
            <wp:posOffset>250825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0F1"/>
    <w:multiLevelType w:val="hybridMultilevel"/>
    <w:tmpl w:val="1C9CE24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4A06"/>
    <w:multiLevelType w:val="hybridMultilevel"/>
    <w:tmpl w:val="0EA05C5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3A"/>
    <w:rsid w:val="000433FA"/>
    <w:rsid w:val="000A2A82"/>
    <w:rsid w:val="000C4D9C"/>
    <w:rsid w:val="002E3E7A"/>
    <w:rsid w:val="00351A84"/>
    <w:rsid w:val="005A7666"/>
    <w:rsid w:val="005B47B4"/>
    <w:rsid w:val="00657AEE"/>
    <w:rsid w:val="006F7844"/>
    <w:rsid w:val="0074303A"/>
    <w:rsid w:val="00867CB8"/>
    <w:rsid w:val="008857EE"/>
    <w:rsid w:val="00A94ED4"/>
    <w:rsid w:val="00B412AF"/>
    <w:rsid w:val="00C63717"/>
    <w:rsid w:val="00CD7E36"/>
    <w:rsid w:val="00DC3160"/>
    <w:rsid w:val="00FB064A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AF095"/>
  <w15:chartTrackingRefBased/>
  <w15:docId w15:val="{3771C84B-942E-4BB9-8906-0403176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Ha Car,SUBTITU MEMO Car,Footnote Car,List Paragraph1 Car,Lista 123 Car,Viñeta normal Car,Tipo2 Car,List Paragraph-Thesis Car,Titulo de Fígura Car,TITULO A Car,Fundamentacion Car,Lista vistosa - Énfasis 11 Car,N° Car,ESTILO2 Car"/>
    <w:link w:val="Prrafodelista"/>
    <w:uiPriority w:val="34"/>
    <w:qFormat/>
    <w:locked/>
    <w:rsid w:val="00DC3160"/>
    <w:rPr>
      <w:rFonts w:ascii="Times New Roman" w:eastAsiaTheme="minorEastAsia" w:hAnsi="Times New Roman" w:cs="Times New Roman"/>
      <w:b/>
      <w:color w:val="44546A" w:themeColor="text2"/>
      <w:sz w:val="28"/>
      <w:lang w:val="es-ES"/>
    </w:rPr>
  </w:style>
  <w:style w:type="paragraph" w:styleId="Prrafodelista">
    <w:name w:val="List Paragraph"/>
    <w:aliases w:val="Ha,SUBTITU MEMO,Footnote,List Paragraph1,Lista 123,Viñeta normal,Tipo2,List Paragraph-Thesis,Titulo de Fígura,TITULO A,Fundamentacion,Lista vistosa - Énfasis 11,N°,ESTILO2,Cita Pie de Página,titulo,Cuadro 2-1,Numeracion iniciativas,pau"/>
    <w:basedOn w:val="Normal"/>
    <w:link w:val="PrrafodelistaCar"/>
    <w:uiPriority w:val="34"/>
    <w:qFormat/>
    <w:rsid w:val="00DC3160"/>
    <w:pPr>
      <w:spacing w:after="0" w:line="276" w:lineRule="auto"/>
      <w:ind w:left="720"/>
      <w:contextualSpacing/>
    </w:pPr>
    <w:rPr>
      <w:rFonts w:ascii="Times New Roman" w:eastAsiaTheme="minorEastAsia" w:hAnsi="Times New Roman" w:cs="Times New Roman"/>
      <w:b/>
      <w:color w:val="44546A" w:themeColor="text2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160"/>
  </w:style>
  <w:style w:type="paragraph" w:styleId="Piedepgina">
    <w:name w:val="footer"/>
    <w:basedOn w:val="Normal"/>
    <w:link w:val="PiedepginaCar"/>
    <w:uiPriority w:val="99"/>
    <w:unhideWhenUsed/>
    <w:rsid w:val="00DC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Gustavo Juan Martinez Valeriano</cp:lastModifiedBy>
  <cp:revision>2</cp:revision>
  <dcterms:created xsi:type="dcterms:W3CDTF">2022-03-08T14:54:00Z</dcterms:created>
  <dcterms:modified xsi:type="dcterms:W3CDTF">2022-03-08T14:54:00Z</dcterms:modified>
</cp:coreProperties>
</file>