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NOTA DE PRENSA </w:t>
      </w:r>
      <w:r w:rsidDel="00000000" w:rsidR="00000000" w:rsidRPr="00000000">
        <w:rPr>
          <w:rtl w:val="0"/>
        </w:rPr>
      </w:r>
    </w:p>
    <w:p w:rsidR="00000000" w:rsidDel="00000000" w:rsidP="00000000" w:rsidRDefault="00000000" w:rsidRPr="00000000" w14:paraId="00000003">
      <w:pPr>
        <w:shd w:fill="ffffff" w:val="clea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Laboratorio de Ensayos de Aptitud de Sanipes amplía alcance para nuevos ensayos microbiológicos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259" w:lineRule="auto"/>
        <w:jc w:val="both"/>
        <w:rPr>
          <w:rFonts w:ascii="Arial" w:cs="Arial" w:eastAsia="Arial" w:hAnsi="Arial"/>
          <w:i w:val="1"/>
          <w:sz w:val="20"/>
          <w:szCs w:val="20"/>
          <w:vertAlign w:val="baseline"/>
        </w:rPr>
      </w:pPr>
      <w:r w:rsidDel="00000000" w:rsidR="00000000" w:rsidRPr="00000000">
        <w:rPr>
          <w:rFonts w:ascii="Arial" w:cs="Arial" w:eastAsia="Arial" w:hAnsi="Arial"/>
          <w:i w:val="1"/>
          <w:sz w:val="20"/>
          <w:szCs w:val="20"/>
          <w:rtl w:val="0"/>
        </w:rPr>
        <w:t xml:space="preserve">Tras la auditoría de seguimiento realizada por la Entidad Mexicana de Acreditación (ema), logra mantener la Acreditación en la Norma ISOI/EC 17043:2010 como Proveedor de Ensayos de Aptitud de referencia internacional</w:t>
      </w: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Ministerio de la Producción, a través del Organismo Nacional de Sanidad Pesquera (Sanipes), informa que su Laboratorio de Ensayos de Aptitud amplía su alcance para realizar dos nuevos ensayos microbiológicos, tras la aprobación satisfactoria de la evaluación de verificación realizada por l</w:t>
      </w:r>
      <w:r w:rsidDel="00000000" w:rsidR="00000000" w:rsidRPr="00000000">
        <w:rPr>
          <w:rFonts w:ascii="Arial" w:cs="Arial" w:eastAsia="Arial" w:hAnsi="Arial"/>
          <w:i w:val="1"/>
          <w:sz w:val="20"/>
          <w:szCs w:val="20"/>
          <w:rtl w:val="0"/>
        </w:rPr>
        <w:t xml:space="preserve">a Entidad Mexicana de Acreditación (ema)</w:t>
      </w:r>
      <w:r w:rsidDel="00000000" w:rsidR="00000000" w:rsidRPr="00000000">
        <w:rPr>
          <w:rFonts w:ascii="Arial" w:cs="Arial" w:eastAsia="Arial" w:hAnsi="Arial"/>
          <w:sz w:val="20"/>
          <w:szCs w:val="20"/>
          <w:rtl w:val="0"/>
        </w:rPr>
        <w:t xml:space="preserve">, la cual también confirma que mantiene la Acreditación en la Norma ISOI/EC 17043:2010 como Proveedor de Ensayos de Aptitud.</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resultado satisfactorio de la auditoría, evidencia al laboratorio como referente calificado a nivel internacional para ejecutar Ensayos Interlaboratorios, demostrando que Sanipes cuenta con un robusto mecanismo de fiscalización sanitaria que brinda la garantía, respaldo y confianza para evaluar técnicamente a sus laboratorios de ensayo autorizados, los cuales intervienen activamente en el análisis de los productos hidrobiológicos de importación y exportación.</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debe señalar que a la prueba “Detección de </w:t>
      </w:r>
      <w:r w:rsidDel="00000000" w:rsidR="00000000" w:rsidRPr="00000000">
        <w:rPr>
          <w:rFonts w:ascii="Arial" w:cs="Arial" w:eastAsia="Arial" w:hAnsi="Arial"/>
          <w:i w:val="1"/>
          <w:sz w:val="20"/>
          <w:szCs w:val="20"/>
          <w:rtl w:val="0"/>
        </w:rPr>
        <w:t xml:space="preserve">Salmonella</w:t>
      </w:r>
      <w:r w:rsidDel="00000000" w:rsidR="00000000" w:rsidRPr="00000000">
        <w:rPr>
          <w:rFonts w:ascii="Arial" w:cs="Arial" w:eastAsia="Arial" w:hAnsi="Arial"/>
          <w:sz w:val="20"/>
          <w:szCs w:val="20"/>
          <w:rtl w:val="0"/>
        </w:rPr>
        <w:t xml:space="preserve"> spp.” acreditada en el 2021, ahora se suman 02 nuevos Ensayos de Aptitud Microbiológicos: “Detección de </w:t>
      </w:r>
      <w:r w:rsidDel="00000000" w:rsidR="00000000" w:rsidRPr="00000000">
        <w:rPr>
          <w:rFonts w:ascii="Arial" w:cs="Arial" w:eastAsia="Arial" w:hAnsi="Arial"/>
          <w:i w:val="1"/>
          <w:sz w:val="20"/>
          <w:szCs w:val="20"/>
          <w:rtl w:val="0"/>
        </w:rPr>
        <w:t xml:space="preserve">Vibrio Cholerae”</w:t>
      </w:r>
      <w:r w:rsidDel="00000000" w:rsidR="00000000" w:rsidRPr="00000000">
        <w:rPr>
          <w:rFonts w:ascii="Arial" w:cs="Arial" w:eastAsia="Arial" w:hAnsi="Arial"/>
          <w:sz w:val="20"/>
          <w:szCs w:val="20"/>
          <w:rtl w:val="0"/>
        </w:rPr>
        <w:t xml:space="preserve"> y “Numeración de Microorganismos Aerobios Mesófilos Viables”, ambos requeridos en el proceso de Certificación Sanitaria de los productos hidrobiológicos.</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necesario resaltar que el</w:t>
      </w:r>
      <w:r w:rsidDel="00000000" w:rsidR="00000000" w:rsidRPr="00000000">
        <w:rPr>
          <w:rFonts w:ascii="Arial" w:cs="Arial" w:eastAsia="Arial" w:hAnsi="Arial"/>
          <w:sz w:val="20"/>
          <w:szCs w:val="20"/>
          <w:highlight w:val="white"/>
          <w:rtl w:val="0"/>
        </w:rPr>
        <w:t xml:space="preserve"> éxito obtenido </w:t>
      </w:r>
      <w:r w:rsidDel="00000000" w:rsidR="00000000" w:rsidRPr="00000000">
        <w:rPr>
          <w:rFonts w:ascii="Arial" w:cs="Arial" w:eastAsia="Arial" w:hAnsi="Arial"/>
          <w:sz w:val="20"/>
          <w:szCs w:val="20"/>
          <w:rtl w:val="0"/>
        </w:rPr>
        <w:t xml:space="preserve">en esta evaluación, se verá reflejado en una mayor confianza sobre los resultados emitidos por los laboratorios participantes de estas evaluaciones ante los exportadores, productores, compradores, autoridades sanitarias internacionales, entre otros, lo que otorgará un mayor prestigio a los laboratorios de ensayo de Sanipes, frente a las empresas que tendrán la seguridad de certificar su producción con ellos.</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esta manera Sanipes, como autoridad sanitaria sigue mejorando sus mecanismos que garantizan la inocuidad de los alimentos hidrobiológicos para el consumo público, beneficiando el impulso de la reactivación y el crecimiento del sector pesquero y de la economía nacional.</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Acreditación</w:t>
      </w:r>
    </w:p>
    <w:p w:rsidR="00000000" w:rsidDel="00000000" w:rsidP="00000000" w:rsidRDefault="00000000" w:rsidRPr="00000000" w14:paraId="00000013">
      <w:pPr>
        <w:jc w:val="both"/>
        <w:rPr>
          <w:rFonts w:ascii="Arial" w:cs="Arial" w:eastAsia="Arial" w:hAnsi="Arial"/>
          <w:color w:val="26292e"/>
          <w:sz w:val="20"/>
          <w:szCs w:val="20"/>
          <w:shd w:fill="fdfdfd" w:val="clear"/>
        </w:rPr>
      </w:pPr>
      <w:r w:rsidDel="00000000" w:rsidR="00000000" w:rsidRPr="00000000">
        <w:rPr>
          <w:rFonts w:ascii="Arial" w:cs="Arial" w:eastAsia="Arial" w:hAnsi="Arial"/>
          <w:sz w:val="20"/>
          <w:szCs w:val="20"/>
          <w:rtl w:val="0"/>
        </w:rPr>
        <w:t xml:space="preserve">Desde el 18 de mayo del 2021, el Laboratorio de Ensayos de Aptitud, fue acreditado en la Norma ISO/IEC 17043 (Acreditación N°PEA-ENS-18), por la Entidad Mexicana de Acreditación (ema), </w:t>
      </w:r>
      <w:r w:rsidDel="00000000" w:rsidR="00000000" w:rsidRPr="00000000">
        <w:rPr>
          <w:rFonts w:ascii="Arial" w:cs="Arial" w:eastAsia="Arial" w:hAnsi="Arial"/>
          <w:color w:val="26292e"/>
          <w:sz w:val="20"/>
          <w:szCs w:val="20"/>
          <w:shd w:fill="fdfdfd" w:val="clear"/>
          <w:rtl w:val="0"/>
        </w:rPr>
        <w:t xml:space="preserve">convirtiéndose en el tercer país sudamericano luego de Brasil y Chile, en contar con la Norma que la reconoce a nivel mundial como un laboratorio de referencia acreditado como Proveedor de Ensayos de Aptitud en métodos microbiológicos.</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Agradecemos su difusión.</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vertAlign w:val="baseline"/>
        </w:rPr>
      </w:pPr>
      <w:r w:rsidDel="00000000" w:rsidR="00000000" w:rsidRPr="00000000">
        <w:rPr>
          <w:rtl w:val="0"/>
        </w:rPr>
      </w:r>
    </w:p>
    <w:sectPr>
      <w:headerReference r:id="rId7" w:type="default"/>
      <w:footerReference r:id="rId8" w:type="default"/>
      <w:pgSz w:h="16838" w:w="11906" w:orient="portrait"/>
      <w:pgMar w:bottom="1418" w:top="170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Ebr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3974465</wp:posOffset>
          </wp:positionH>
          <wp:positionV relativeFrom="paragraph">
            <wp:posOffset>70485</wp:posOffset>
          </wp:positionV>
          <wp:extent cx="2056765" cy="109855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638" l="-822" r="822" t="17862"/>
                  <a:stretch>
                    <a:fillRect/>
                  </a:stretch>
                </pic:blipFill>
                <pic:spPr>
                  <a:xfrm>
                    <a:off x="0" y="0"/>
                    <a:ext cx="2056765" cy="1098550"/>
                  </a:xfrm>
                  <a:prstGeom prst="rect"/>
                  <a:ln/>
                </pic:spPr>
              </pic:pic>
            </a:graphicData>
          </a:graphic>
        </wp:anchor>
      </w:draw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Domingo Orué N° 165, piso 7, Surquillo - Lima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 Carretera a Ventanilla km 5.2 – Callao</w:t>
      <w:br w:type="textWrapping"/>
      <w:t xml:space="preserve">www.sanipes.gob.pe</w:t>
    </w:r>
  </w:p>
  <w:p w:rsidR="00000000" w:rsidDel="00000000" w:rsidP="00000000" w:rsidRDefault="00000000" w:rsidRPr="00000000" w14:paraId="00000024">
    <w:pPr>
      <w:tabs>
        <w:tab w:val="left" w:pos="-284"/>
      </w:tabs>
      <w:spacing w:line="360" w:lineRule="auto"/>
      <w:ind w:right="-568" w:hanging="426"/>
      <w:jc w:val="both"/>
      <w:rPr>
        <w:b w:val="1"/>
        <w:sz w:val="14"/>
        <w:szCs w:val="1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-347979</wp:posOffset>
          </wp:positionH>
          <wp:positionV relativeFrom="paragraph">
            <wp:posOffset>12065</wp:posOffset>
          </wp:positionV>
          <wp:extent cx="1581150" cy="370205"/>
          <wp:effectExtent b="0" l="0" r="0" t="0"/>
          <wp:wrapNone/>
          <wp:docPr descr="LOGO PRODUCE 2016 - PARA FONDO A COLOR" id="15" name="image2.png"/>
          <a:graphic>
            <a:graphicData uri="http://schemas.openxmlformats.org/drawingml/2006/picture">
              <pic:pic>
                <pic:nvPicPr>
                  <pic:cNvPr descr="LOGO PRODUCE 2016 - PARA FONDO A COLOR" id="0" name="image2.png"/>
                  <pic:cNvPicPr preferRelativeResize="0"/>
                </pic:nvPicPr>
                <pic:blipFill>
                  <a:blip r:embed="rId1"/>
                  <a:srcRect b="0" l="0" r="8359" t="0"/>
                  <a:stretch>
                    <a:fillRect/>
                  </a:stretch>
                </pic:blipFill>
                <pic:spPr>
                  <a:xfrm>
                    <a:off x="0" y="0"/>
                    <a:ext cx="1581150" cy="370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4735830</wp:posOffset>
          </wp:positionH>
          <wp:positionV relativeFrom="paragraph">
            <wp:posOffset>16510</wp:posOffset>
          </wp:positionV>
          <wp:extent cx="1152000" cy="381600"/>
          <wp:effectExtent b="0" l="0" r="0" t="0"/>
          <wp:wrapSquare wrapText="bothSides" distB="0" distT="0" distL="114300" distR="114300"/>
          <wp:docPr descr="C:\Users\locador5\Downloads\logo_sanipes-horizontal-01.png" id="16" name="image3.png"/>
          <a:graphic>
            <a:graphicData uri="http://schemas.openxmlformats.org/drawingml/2006/picture">
              <pic:pic>
                <pic:nvPicPr>
                  <pic:cNvPr descr="C:\Users\locador5\Downloads\logo_sanipes-horizontal-01.png" id="0" name="image3.png"/>
                  <pic:cNvPicPr preferRelativeResize="0"/>
                </pic:nvPicPr>
                <pic:blipFill>
                  <a:blip r:embed="rId2"/>
                  <a:srcRect b="0" l="0" r="0" t="0"/>
                  <a:stretch>
                    <a:fillRect/>
                  </a:stretch>
                </pic:blipFill>
                <pic:spPr>
                  <a:xfrm>
                    <a:off x="0" y="0"/>
                    <a:ext cx="1152000" cy="381600"/>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“Decenio de la Igualdad de Oportunidades para Mujeres y Hombres”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202124"/>
        <w:sz w:val="16"/>
        <w:szCs w:val="16"/>
        <w:highlight w:val="white"/>
        <w:u w:val="none"/>
        <w:vertAlign w:val="baseline"/>
      </w:rPr>
    </w:pPr>
    <w:r w:rsidDel="00000000" w:rsidR="00000000" w:rsidRPr="00000000">
      <w:rPr>
        <w:rFonts w:ascii="Arial" w:cs="Arial" w:eastAsia="Arial" w:hAnsi="Arial"/>
        <w:b w:val="0"/>
        <w:i w:val="0"/>
        <w:smallCaps w:val="0"/>
        <w:strike w:val="0"/>
        <w:color w:val="202124"/>
        <w:sz w:val="16"/>
        <w:szCs w:val="16"/>
        <w:highlight w:val="white"/>
        <w:u w:val="none"/>
        <w:vertAlign w:val="baseline"/>
        <w:rtl w:val="0"/>
      </w:rPr>
      <w:t xml:space="preserve">    “Año del Fortalecimiento de la Soberanía Nacional”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94" w:lineRule="auto"/>
      <w:ind w:left="142"/>
    </w:pPr>
    <w:rPr>
      <w:rFonts w:ascii="Ebrima" w:cs="Ebrima" w:eastAsia="Ebrima" w:hAnsi="Ebrima"/>
      <w:b w:val="1"/>
      <w:sz w:val="19"/>
      <w:szCs w:val="19"/>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3DE9"/>
    <w:pPr>
      <w:spacing w:after="0" w:line="240" w:lineRule="auto"/>
    </w:pPr>
    <w:rPr>
      <w:rFonts w:ascii="Times New Roman" w:cs="Times New Roman" w:eastAsia="Times New Roman" w:hAnsi="Times New Roman"/>
      <w:sz w:val="24"/>
      <w:szCs w:val="24"/>
      <w:lang w:eastAsia="es-ES"/>
    </w:rPr>
  </w:style>
  <w:style w:type="paragraph" w:styleId="Ttulo1">
    <w:name w:val="heading 1"/>
    <w:basedOn w:val="Normal"/>
    <w:link w:val="Ttulo1Car"/>
    <w:uiPriority w:val="9"/>
    <w:qFormat w:val="1"/>
    <w:rsid w:val="0019072A"/>
    <w:pPr>
      <w:widowControl w:val="0"/>
      <w:autoSpaceDE w:val="0"/>
      <w:autoSpaceDN w:val="0"/>
      <w:spacing w:before="94"/>
      <w:ind w:left="142"/>
      <w:outlineLvl w:val="0"/>
    </w:pPr>
    <w:rPr>
      <w:rFonts w:ascii="Ebrima" w:cs="Ebrima" w:eastAsia="Ebrima" w:hAnsi="Ebrima"/>
      <w:b w:val="1"/>
      <w:bCs w:val="1"/>
      <w:sz w:val="19"/>
      <w:szCs w:val="19"/>
      <w:lang w:eastAsia="en-US" w:val="es-P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693DE9"/>
    <w:pPr>
      <w:tabs>
        <w:tab w:val="center" w:pos="4252"/>
        <w:tab w:val="right" w:pos="8504"/>
      </w:tabs>
    </w:pPr>
  </w:style>
  <w:style w:type="character" w:styleId="EncabezadoCar" w:customStyle="1">
    <w:name w:val="Encabezado Car"/>
    <w:basedOn w:val="Fuentedeprrafopredeter"/>
    <w:link w:val="Encabezado"/>
    <w:uiPriority w:val="99"/>
    <w:rsid w:val="00693DE9"/>
    <w:rPr>
      <w:rFonts w:ascii="Times New Roman" w:cs="Times New Roman" w:eastAsia="Times New Roman" w:hAnsi="Times New Roman"/>
      <w:sz w:val="24"/>
      <w:szCs w:val="24"/>
      <w:lang w:eastAsia="es-ES"/>
    </w:rPr>
  </w:style>
  <w:style w:type="paragraph" w:styleId="Sinespaciado">
    <w:name w:val="No Spacing"/>
    <w:link w:val="SinespaciadoCar"/>
    <w:uiPriority w:val="1"/>
    <w:qFormat w:val="1"/>
    <w:rsid w:val="00693DE9"/>
    <w:pPr>
      <w:spacing w:after="0" w:line="240" w:lineRule="auto"/>
    </w:pPr>
    <w:rPr>
      <w:rFonts w:ascii="Times New Roman" w:cs="Times New Roman" w:eastAsia="Times New Roman" w:hAnsi="Times New Roman"/>
      <w:sz w:val="24"/>
      <w:szCs w:val="24"/>
      <w:lang w:eastAsia="es-ES"/>
    </w:rPr>
  </w:style>
  <w:style w:type="paragraph" w:styleId="Piedepgina">
    <w:name w:val="footer"/>
    <w:basedOn w:val="Normal"/>
    <w:link w:val="PiedepginaCar"/>
    <w:uiPriority w:val="99"/>
    <w:unhideWhenUsed w:val="1"/>
    <w:rsid w:val="004057F1"/>
    <w:pPr>
      <w:tabs>
        <w:tab w:val="center" w:pos="4419"/>
        <w:tab w:val="right" w:pos="8838"/>
      </w:tabs>
    </w:pPr>
  </w:style>
  <w:style w:type="character" w:styleId="PiedepginaCar" w:customStyle="1">
    <w:name w:val="Pie de página Car"/>
    <w:basedOn w:val="Fuentedeprrafopredeter"/>
    <w:link w:val="Piedepgina"/>
    <w:uiPriority w:val="99"/>
    <w:rsid w:val="004057F1"/>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97618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76185"/>
    <w:rPr>
      <w:rFonts w:ascii="Segoe UI" w:cs="Segoe UI" w:eastAsia="Times New Roman" w:hAnsi="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067B32"/>
    <w:pPr>
      <w:ind w:left="720"/>
      <w:contextualSpacing w:val="1"/>
    </w:pPr>
  </w:style>
  <w:style w:type="table" w:styleId="Tablaconcuadrcula">
    <w:name w:val="Table Grid"/>
    <w:basedOn w:val="Tablanormal"/>
    <w:uiPriority w:val="39"/>
    <w:rsid w:val="007031A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2F5979"/>
    <w:rPr>
      <w:rFonts w:ascii="Times New Roman" w:cs="Times New Roman" w:eastAsia="Times New Roman" w:hAnsi="Times New Roman"/>
      <w:sz w:val="24"/>
      <w:szCs w:val="24"/>
      <w:lang w:eastAsia="es-ES"/>
    </w:rPr>
  </w:style>
  <w:style w:type="character" w:styleId="SinespaciadoCar" w:customStyle="1">
    <w:name w:val="Sin espaciado Car"/>
    <w:basedOn w:val="Fuentedeprrafopredeter"/>
    <w:link w:val="Sinespaciado"/>
    <w:uiPriority w:val="1"/>
    <w:locked w:val="1"/>
    <w:rsid w:val="002F5979"/>
    <w:rPr>
      <w:rFonts w:ascii="Times New Roman" w:cs="Times New Roman" w:eastAsia="Times New Roman" w:hAnsi="Times New Roman"/>
      <w:sz w:val="24"/>
      <w:szCs w:val="24"/>
      <w:lang w:eastAsia="es-ES"/>
    </w:rPr>
  </w:style>
  <w:style w:type="character" w:styleId="no-style-override" w:customStyle="1">
    <w:name w:val="no-style-override"/>
    <w:basedOn w:val="Fuentedeprrafopredeter"/>
    <w:rsid w:val="002F5979"/>
  </w:style>
  <w:style w:type="character" w:styleId="Hipervnculo">
    <w:name w:val="Hyperlink"/>
    <w:basedOn w:val="Fuentedeprrafopredeter"/>
    <w:uiPriority w:val="99"/>
    <w:unhideWhenUsed w:val="1"/>
    <w:rsid w:val="000A5B55"/>
    <w:rPr>
      <w:color w:val="0563c1" w:themeColor="hyperlink"/>
      <w:u w:val="single"/>
    </w:rPr>
  </w:style>
  <w:style w:type="character" w:styleId="Ttulo1Car" w:customStyle="1">
    <w:name w:val="Título 1 Car"/>
    <w:basedOn w:val="Fuentedeprrafopredeter"/>
    <w:link w:val="Ttulo1"/>
    <w:uiPriority w:val="9"/>
    <w:rsid w:val="0019072A"/>
    <w:rPr>
      <w:rFonts w:ascii="Ebrima" w:cs="Ebrima" w:eastAsia="Ebrima" w:hAnsi="Ebrima"/>
      <w:b w:val="1"/>
      <w:bCs w:val="1"/>
      <w:sz w:val="19"/>
      <w:szCs w:val="19"/>
      <w:lang w:val="es-PE"/>
    </w:rPr>
  </w:style>
  <w:style w:type="paragraph" w:styleId="Textoindependiente">
    <w:name w:val="Body Text"/>
    <w:basedOn w:val="Normal"/>
    <w:link w:val="TextoindependienteCar"/>
    <w:uiPriority w:val="1"/>
    <w:qFormat w:val="1"/>
    <w:rsid w:val="0019072A"/>
    <w:pPr>
      <w:widowControl w:val="0"/>
      <w:autoSpaceDE w:val="0"/>
      <w:autoSpaceDN w:val="0"/>
    </w:pPr>
    <w:rPr>
      <w:rFonts w:ascii="Ebrima" w:cs="Ebrima" w:eastAsia="Ebrima" w:hAnsi="Ebrima"/>
      <w:sz w:val="19"/>
      <w:szCs w:val="19"/>
      <w:lang w:eastAsia="en-US" w:val="es-PE"/>
    </w:rPr>
  </w:style>
  <w:style w:type="character" w:styleId="TextoindependienteCar" w:customStyle="1">
    <w:name w:val="Texto independiente Car"/>
    <w:basedOn w:val="Fuentedeprrafopredeter"/>
    <w:link w:val="Textoindependiente"/>
    <w:uiPriority w:val="1"/>
    <w:rsid w:val="0019072A"/>
    <w:rPr>
      <w:rFonts w:ascii="Ebrima" w:cs="Ebrima" w:eastAsia="Ebrima" w:hAnsi="Ebrima"/>
      <w:sz w:val="19"/>
      <w:szCs w:val="19"/>
      <w:lang w:val="es-PE"/>
    </w:rPr>
  </w:style>
  <w:style w:type="character" w:styleId="normaltextrun" w:customStyle="1">
    <w:name w:val="normaltextrun"/>
    <w:basedOn w:val="Fuentedeprrafopredeter"/>
    <w:rsid w:val="00FA1F78"/>
  </w:style>
  <w:style w:type="character" w:styleId="Refdecomentario">
    <w:name w:val="annotation reference"/>
    <w:basedOn w:val="Fuentedeprrafopredeter"/>
    <w:uiPriority w:val="99"/>
    <w:semiHidden w:val="1"/>
    <w:unhideWhenUsed w:val="1"/>
    <w:rsid w:val="00B233AA"/>
    <w:rPr>
      <w:sz w:val="16"/>
      <w:szCs w:val="16"/>
    </w:rPr>
  </w:style>
  <w:style w:type="paragraph" w:styleId="Textocomentario">
    <w:name w:val="annotation text"/>
    <w:basedOn w:val="Normal"/>
    <w:link w:val="TextocomentarioCar"/>
    <w:uiPriority w:val="99"/>
    <w:semiHidden w:val="1"/>
    <w:unhideWhenUsed w:val="1"/>
    <w:rsid w:val="00B233AA"/>
    <w:rPr>
      <w:sz w:val="20"/>
      <w:szCs w:val="20"/>
    </w:rPr>
  </w:style>
  <w:style w:type="character" w:styleId="TextocomentarioCar" w:customStyle="1">
    <w:name w:val="Texto comentario Car"/>
    <w:basedOn w:val="Fuentedeprrafopredeter"/>
    <w:link w:val="Textocomentario"/>
    <w:uiPriority w:val="99"/>
    <w:semiHidden w:val="1"/>
    <w:rsid w:val="00B233AA"/>
    <w:rPr>
      <w:rFonts w:ascii="Times New Roman" w:cs="Times New Roman" w:eastAsia="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B233AA"/>
    <w:rPr>
      <w:b w:val="1"/>
      <w:bCs w:val="1"/>
    </w:rPr>
  </w:style>
  <w:style w:type="character" w:styleId="AsuntodelcomentarioCar" w:customStyle="1">
    <w:name w:val="Asunto del comentario Car"/>
    <w:basedOn w:val="TextocomentarioCar"/>
    <w:link w:val="Asuntodelcomentario"/>
    <w:uiPriority w:val="99"/>
    <w:semiHidden w:val="1"/>
    <w:rsid w:val="00B233AA"/>
    <w:rPr>
      <w:rFonts w:ascii="Times New Roman" w:cs="Times New Roman" w:eastAsia="Times New Roman" w:hAnsi="Times New Roman"/>
      <w:b w:val="1"/>
      <w:bCs w:val="1"/>
      <w:sz w:val="20"/>
      <w:szCs w:val="20"/>
      <w:lang w:eastAsia="es-ES"/>
    </w:rPr>
  </w:style>
  <w:style w:type="paragraph" w:styleId="Textonotapie">
    <w:name w:val="footnote text"/>
    <w:basedOn w:val="Normal"/>
    <w:link w:val="TextonotapieCar"/>
    <w:uiPriority w:val="99"/>
    <w:semiHidden w:val="1"/>
    <w:unhideWhenUsed w:val="1"/>
    <w:rsid w:val="00544B61"/>
    <w:rPr>
      <w:rFonts w:asciiTheme="minorHAnsi" w:cstheme="minorBidi" w:eastAsiaTheme="minorHAnsi" w:hAnsiTheme="minorHAnsi"/>
      <w:sz w:val="20"/>
      <w:szCs w:val="20"/>
      <w:lang w:eastAsia="en-US" w:val="es-PE"/>
    </w:rPr>
  </w:style>
  <w:style w:type="character" w:styleId="TextonotapieCar" w:customStyle="1">
    <w:name w:val="Texto nota pie Car"/>
    <w:basedOn w:val="Fuentedeprrafopredeter"/>
    <w:link w:val="Textonotapie"/>
    <w:uiPriority w:val="99"/>
    <w:semiHidden w:val="1"/>
    <w:rsid w:val="00544B61"/>
    <w:rPr>
      <w:sz w:val="20"/>
      <w:szCs w:val="20"/>
      <w:lang w:val="es-PE"/>
    </w:rPr>
  </w:style>
  <w:style w:type="character" w:styleId="Refdenotaalpie">
    <w:name w:val="footnote reference"/>
    <w:basedOn w:val="Fuentedeprrafopredeter"/>
    <w:uiPriority w:val="99"/>
    <w:semiHidden w:val="1"/>
    <w:unhideWhenUsed w:val="1"/>
    <w:rsid w:val="00544B61"/>
    <w:rPr>
      <w:vertAlign w:val="superscript"/>
    </w:rPr>
  </w:style>
  <w:style w:type="paragraph" w:styleId="Cuadrculamediana2-nfasis11" w:customStyle="1">
    <w:name w:val="Cuadrícula mediana 2 - Énfasis 11"/>
    <w:uiPriority w:val="1"/>
    <w:qFormat w:val="1"/>
    <w:rsid w:val="0003700E"/>
    <w:pPr>
      <w:spacing w:after="0" w:line="240" w:lineRule="auto"/>
    </w:pPr>
    <w:rPr>
      <w:rFonts w:ascii="Calibri" w:cs="Times New Roman" w:eastAsia="Yu Mincho" w:hAnsi="Calibri"/>
      <w:lang w:eastAsia="ja-JP" w:val="es-PE"/>
    </w:rPr>
  </w:style>
  <w:style w:type="paragraph" w:styleId="Cuadrculaclara-nfasis31" w:customStyle="1">
    <w:name w:val="Cuadrícula clara - Énfasis 31"/>
    <w:basedOn w:val="Normal"/>
    <w:uiPriority w:val="34"/>
    <w:qFormat w:val="1"/>
    <w:rsid w:val="0003700E"/>
    <w:pPr>
      <w:spacing w:after="160" w:line="259" w:lineRule="auto"/>
      <w:ind w:left="720"/>
      <w:contextualSpacing w:val="1"/>
    </w:pPr>
    <w:rPr>
      <w:rFonts w:ascii="Calibri" w:eastAsia="Yu Mincho" w:hAnsi="Calibri"/>
      <w:sz w:val="22"/>
      <w:szCs w:val="22"/>
      <w:lang w:eastAsia="ja-JP" w:val="es-P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3/EydDC9RkOzvxOX2iQ0wtNGpg==">AMUW2mXjgSvbYVZKmrHKRH74N7QtzWrIm6gBm+hCVPKNhxRE5xCi0ofZ7sQXN6pO0qZc2OOB/E4/uNdrtC4IuLe8ml0aPEAB6hyWEBEzSKAz4NywdFePLks=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2022-05-09T16:15:00Z</dcterms:created>
  <dc:creator>Joel Javier Atarama Orejuela</dc:creator>
</cp:coreProperties>
</file>