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Sanipes ejecutó más de 6000 ensayos para identificar microorganismos resistentes a los antimicrobianos en la acuicultura nacional</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Estudio se llevó a cabo en conchas de abanico, trucha arcoíris, tilapia y langostino blanco, especies cultivadas en 291 centros de producción acuícola </w:t>
      </w:r>
      <w:r w:rsidDel="00000000" w:rsidR="00000000" w:rsidRPr="00000000">
        <w:rPr>
          <w:rFonts w:ascii="Arial" w:cs="Arial" w:eastAsia="Arial" w:hAnsi="Arial"/>
          <w:i w:val="1"/>
          <w:sz w:val="18"/>
          <w:szCs w:val="18"/>
          <w:rtl w:val="0"/>
        </w:rPr>
        <w:t xml:space="preserve">de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Piura, Puno, San Martín y Tumbes.</w:t>
      </w:r>
    </w:p>
    <w:p w:rsidR="00000000" w:rsidDel="00000000" w:rsidP="00000000" w:rsidRDefault="00000000" w:rsidRPr="00000000" w14:paraId="00000003">
      <w:pPr>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sz w:val="20"/>
          <w:szCs w:val="20"/>
          <w:highlight w:val="white"/>
          <w:rtl w:val="0"/>
        </w:rPr>
        <w:t xml:space="preserve">l Organismo Nacional de Sanidad Pesquera (Sanipes), adscrito al Ministerio de la Producción, realizó más de 6000 ensayos en cuatro especies representativas de la acuicultura nacional, como las conchas de abanico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Argopecten purpuratus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white"/>
          <w:rtl w:val="0"/>
        </w:rPr>
        <w:t xml:space="preserve"> trucha arcoíris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Oncorhynchus mykiss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white"/>
          <w:rtl w:val="0"/>
        </w:rPr>
        <w:t xml:space="preserve">, tilapia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Oreochromis spp.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y langostino blanco </w:t>
      </w:r>
      <w:r w:rsidDel="00000000" w:rsidR="00000000" w:rsidRPr="00000000">
        <w:rPr>
          <w:rFonts w:ascii="Arial" w:cs="Arial" w:eastAsia="Arial" w:hAnsi="Arial"/>
          <w:color w:val="1d1d1b"/>
          <w:sz w:val="20"/>
          <w:szCs w:val="20"/>
          <w:rtl w:val="0"/>
        </w:rPr>
        <w:t xml:space="preserve">(</w:t>
      </w:r>
      <w:r w:rsidDel="00000000" w:rsidR="00000000" w:rsidRPr="00000000">
        <w:rPr>
          <w:rFonts w:ascii="Arial" w:cs="Arial" w:eastAsia="Arial" w:hAnsi="Arial"/>
          <w:i w:val="1"/>
          <w:color w:val="1d1d1b"/>
          <w:sz w:val="20"/>
          <w:szCs w:val="20"/>
          <w:highlight w:val="white"/>
          <w:rtl w:val="0"/>
        </w:rPr>
        <w:t xml:space="preserve">Penaeus vannamei</w:t>
      </w:r>
      <w:r w:rsidDel="00000000" w:rsidR="00000000" w:rsidRPr="00000000">
        <w:rPr>
          <w:rFonts w:ascii="Arial" w:cs="Arial" w:eastAsia="Arial" w:hAnsi="Arial"/>
          <w:color w:val="1d1d1b"/>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como parte de un estudio para la identificación y prevención de microorganismos (bacterias) resistentes a los tratamientos antimicrobianos.</w:t>
      </w:r>
    </w:p>
    <w:p w:rsidR="00000000" w:rsidDel="00000000" w:rsidP="00000000" w:rsidRDefault="00000000" w:rsidRPr="00000000" w14:paraId="00000004">
      <w:pPr>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Para dicho fin, los especialistas de Sanipes recogieron muestras</w:t>
      </w:r>
      <w:r w:rsidDel="00000000" w:rsidR="00000000" w:rsidRPr="00000000">
        <w:rPr>
          <w:rFonts w:ascii="Arial" w:cs="Arial" w:eastAsia="Arial" w:hAnsi="Arial"/>
          <w:color w:val="111111"/>
          <w:sz w:val="20"/>
          <w:szCs w:val="20"/>
          <w:rtl w:val="0"/>
        </w:rPr>
        <w:t xml:space="preserve"> en 291 centros de producción acuícola ubicados en los departamentos de Piura, Puno, San Martín y Tumbes, en el marco de la investigación</w:t>
      </w:r>
      <w:r w:rsidDel="00000000" w:rsidR="00000000" w:rsidRPr="00000000">
        <w:rPr>
          <w:rFonts w:ascii="Arial" w:cs="Arial" w:eastAsia="Arial" w:hAnsi="Arial"/>
          <w:sz w:val="20"/>
          <w:szCs w:val="20"/>
          <w:rtl w:val="0"/>
        </w:rPr>
        <w:t xml:space="preserve"> denominada “Estrategias para la prevención de la resistencia antimicrobiana en la acuicultura peruana bajo el enfoque </w:t>
      </w:r>
      <w:r w:rsidDel="00000000" w:rsidR="00000000" w:rsidRPr="00000000">
        <w:rPr>
          <w:rFonts w:ascii="Arial" w:cs="Arial" w:eastAsia="Arial" w:hAnsi="Arial"/>
          <w:i w:val="1"/>
          <w:sz w:val="20"/>
          <w:szCs w:val="20"/>
          <w:rtl w:val="0"/>
        </w:rPr>
        <w:t xml:space="preserve">One Health</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5">
      <w:pPr>
        <w:jc w:val="both"/>
        <w:rPr>
          <w:rFonts w:ascii="Arial" w:cs="Arial" w:eastAsia="Arial" w:hAnsi="Arial"/>
          <w:i w:val="1"/>
          <w:color w:val="111111"/>
          <w:sz w:val="20"/>
          <w:szCs w:val="20"/>
        </w:rPr>
      </w:pPr>
      <w:r w:rsidDel="00000000" w:rsidR="00000000" w:rsidRPr="00000000">
        <w:rPr>
          <w:rFonts w:ascii="Arial" w:cs="Arial" w:eastAsia="Arial" w:hAnsi="Arial"/>
          <w:color w:val="111111"/>
          <w:sz w:val="20"/>
          <w:szCs w:val="20"/>
          <w:rtl w:val="0"/>
        </w:rPr>
        <w:t xml:space="preserve">Estos ensayos demandaron el procesamiento de más de 1600 muestras tomadas en campo y el posterior aislamiento de 1317 cepas de diversos microorganismos, entre los que destacan la </w:t>
      </w:r>
      <w:r w:rsidDel="00000000" w:rsidR="00000000" w:rsidRPr="00000000">
        <w:rPr>
          <w:rFonts w:ascii="Arial" w:cs="Arial" w:eastAsia="Arial" w:hAnsi="Arial"/>
          <w:i w:val="1"/>
          <w:color w:val="111111"/>
          <w:sz w:val="20"/>
          <w:szCs w:val="20"/>
          <w:rtl w:val="0"/>
        </w:rPr>
        <w:t xml:space="preserve">Escherichia coli, Enterococcus spp., Salmonella spp., Vibrio spp., Vibrio parahaemolyticus, Aeromonas salmonicida y Flavobacterium psychrophilum.</w:t>
      </w:r>
    </w:p>
    <w:p w:rsidR="00000000" w:rsidDel="00000000" w:rsidP="00000000" w:rsidRDefault="00000000" w:rsidRPr="00000000" w14:paraId="00000006">
      <w:pPr>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color w:val="111111"/>
          <w:sz w:val="20"/>
          <w:szCs w:val="20"/>
          <w:rtl w:val="0"/>
        </w:rPr>
        <w:t xml:space="preserve">Estos valores, obtenidos en los laboratorios de Sanipes ubicados en Tumbes, Sechura, Callao y Puno, facilitarán la identificación </w:t>
      </w:r>
      <w:r w:rsidDel="00000000" w:rsidR="00000000" w:rsidRPr="00000000">
        <w:rPr>
          <w:rFonts w:ascii="Arial" w:cs="Arial" w:eastAsia="Arial" w:hAnsi="Arial"/>
          <w:sz w:val="20"/>
          <w:szCs w:val="20"/>
          <w:rtl w:val="0"/>
        </w:rPr>
        <w:t xml:space="preserve">microbiológica, su distribución y el grado de resistencia de estos patógenos a los medicamentos antimicrobianos en cada zona de producción.  </w:t>
      </w:r>
    </w:p>
    <w:p w:rsidR="00000000" w:rsidDel="00000000" w:rsidP="00000000" w:rsidRDefault="00000000" w:rsidRPr="00000000" w14:paraId="00000007">
      <w:pPr>
        <w:jc w:val="both"/>
        <w:rPr>
          <w:rFonts w:ascii="Arial" w:cs="Arial" w:eastAsia="Arial" w:hAnsi="Arial"/>
          <w:sz w:val="20"/>
          <w:szCs w:val="20"/>
        </w:rPr>
      </w:pPr>
      <w:bookmarkStart w:colFirst="0" w:colLast="0" w:name="_heading=h.1fob9te" w:id="1"/>
      <w:bookmarkEnd w:id="1"/>
      <w:r w:rsidDel="00000000" w:rsidR="00000000" w:rsidRPr="00000000">
        <w:rPr>
          <w:rFonts w:ascii="Arial" w:cs="Arial" w:eastAsia="Arial" w:hAnsi="Arial"/>
          <w:sz w:val="20"/>
          <w:szCs w:val="20"/>
          <w:rtl w:val="0"/>
        </w:rPr>
        <w:t xml:space="preserve">El objetivo final es prevenir la propagación de la resistencia antimicrobiana (RAM) a lo largo de toda la cadena alimenticia, recomendando y promoviendo en los propios acuicultores las buenas prácticas que aseguren el adecuado manejo y suministro de estos insumos veterinarios para garantizar la inocuidad de los productos acuícolas.</w:t>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tal sentido, la participación activa de todos los agentes de la cadena productiva acuícola fortalece la sanidad e inocuidad de los recursos y productos hidrobiológicos provenientes de la acuicultura peruana. En consecuencia, se contribuye con la protección de la salud pública ante enfermedades de transmisión alimentaria (ETA) de naturaleza infecciosa, generadas por estos microorganismos.</w:t>
      </w:r>
    </w:p>
    <w:p w:rsidR="00000000" w:rsidDel="00000000" w:rsidP="00000000" w:rsidRDefault="00000000" w:rsidRPr="00000000" w14:paraId="00000009">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Estrategias para la prevención de la resistencia antimicrobiana en la acuicultura peruana bajo el enfoque One Health</w:t>
      </w:r>
    </w:p>
    <w:p w:rsidR="00000000" w:rsidDel="00000000" w:rsidP="00000000" w:rsidRDefault="00000000" w:rsidRPr="00000000" w14:paraId="0000000A">
      <w:pPr>
        <w:jc w:val="both"/>
        <w:rPr>
          <w:rFonts w:ascii="Arial" w:cs="Arial" w:eastAsia="Arial" w:hAnsi="Arial"/>
          <w:color w:val="111111"/>
          <w:sz w:val="20"/>
          <w:szCs w:val="20"/>
        </w:rPr>
      </w:pPr>
      <w:r w:rsidDel="00000000" w:rsidR="00000000" w:rsidRPr="00000000">
        <w:rPr>
          <w:rFonts w:ascii="Arial" w:cs="Arial" w:eastAsia="Arial" w:hAnsi="Arial"/>
          <w:color w:val="111111"/>
          <w:sz w:val="20"/>
          <w:szCs w:val="20"/>
          <w:rtl w:val="0"/>
        </w:rPr>
        <w:t xml:space="preserve">Es un subproyecto ejecutado por Sanipes, orientado a la investigación y el fortalecimiento de la red de sanidad pesquera y acuícola. Así mismo, cuenta con el financiamiento del Programa Nacional de Innovación en Pesca y Acuicultura (PNIPA), destinado al cumplimiento del primer hito de dicho plan: Determinación de la distribución de los patógenos en las poblaciones de estudio.</w:t>
      </w:r>
    </w:p>
    <w:p w:rsidR="00000000" w:rsidDel="00000000" w:rsidP="00000000" w:rsidRDefault="00000000" w:rsidRPr="00000000" w14:paraId="0000000B">
      <w:pPr>
        <w:jc w:val="both"/>
        <w:rPr>
          <w:rFonts w:ascii="Arial" w:cs="Arial" w:eastAsia="Arial" w:hAnsi="Arial"/>
          <w:color w:val="111111"/>
          <w:sz w:val="20"/>
          <w:szCs w:val="20"/>
        </w:rPr>
      </w:pPr>
      <w:r w:rsidDel="00000000" w:rsidR="00000000" w:rsidRPr="00000000">
        <w:rPr>
          <w:rFonts w:ascii="Arial" w:cs="Arial" w:eastAsia="Arial" w:hAnsi="Arial"/>
          <w:color w:val="111111"/>
          <w:sz w:val="20"/>
          <w:szCs w:val="20"/>
          <w:rtl w:val="0"/>
        </w:rPr>
        <w:tab/>
        <w:tab/>
        <w:br w:type="textWrapping"/>
      </w:r>
      <w:r w:rsidDel="00000000" w:rsidR="00000000" w:rsidRPr="00000000">
        <w:rPr>
          <w:rFonts w:ascii="Arial" w:cs="Arial" w:eastAsia="Arial" w:hAnsi="Arial"/>
          <w:sz w:val="20"/>
          <w:szCs w:val="20"/>
          <w:rtl w:val="0"/>
        </w:rPr>
        <w:t xml:space="preserve">Agradecemos su difusión.</w:t>
      </w:r>
      <w:r w:rsidDel="00000000" w:rsidR="00000000" w:rsidRPr="00000000">
        <w:rPr>
          <w:rtl w:val="0"/>
        </w:rPr>
      </w:r>
    </w:p>
    <w:sectPr>
      <w:headerReference r:id="rId7" w:type="default"/>
      <w:footerReference r:id="rId8" w:type="default"/>
      <w:pgSz w:h="16838" w:w="11906" w:orient="portrait"/>
      <w:pgMar w:bottom="1417" w:top="1695" w:left="1701" w:right="1701" w:header="567" w:footer="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left" w:pos="-284"/>
      </w:tabs>
      <w:spacing w:after="0" w:line="360" w:lineRule="auto"/>
      <w:ind w:right="-568" w:hanging="426"/>
      <w:jc w:val="both"/>
      <w:rPr>
        <w:b w:val="1"/>
        <w:sz w:val="14"/>
        <w:szCs w:val="1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3891915</wp:posOffset>
          </wp:positionH>
          <wp:positionV relativeFrom="paragraph">
            <wp:posOffset>-154304</wp:posOffset>
          </wp:positionV>
          <wp:extent cx="1764665" cy="114744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4665" cy="1147445"/>
                  </a:xfrm>
                  <a:prstGeom prst="rect"/>
                  <a:ln/>
                </pic:spPr>
              </pic:pic>
            </a:graphicData>
          </a:graphic>
        </wp:anchor>
      </w:drawing>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252"/>
        <w:tab w:val="right" w:pos="8504"/>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Amador Merino Reyna Nº 267, piso 12, San Isidro - Lima</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252"/>
        <w:tab w:val="right" w:pos="8504"/>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Av. Carretera a Ventanilla km 5.2 – Callao</w:t>
      <w:br w:type="textWrapping"/>
      <w:t xml:space="preserve">www.gob.pe/sanipes</w:t>
    </w:r>
  </w:p>
  <w:p w:rsidR="00000000" w:rsidDel="00000000" w:rsidP="00000000" w:rsidRDefault="00000000" w:rsidRPr="00000000" w14:paraId="00000018">
    <w:pPr>
      <w:tabs>
        <w:tab w:val="left" w:pos="-284"/>
      </w:tabs>
      <w:spacing w:after="0" w:line="360" w:lineRule="auto"/>
      <w:ind w:right="-568" w:hanging="426"/>
      <w:jc w:val="both"/>
      <w:rPr>
        <w:b w:val="1"/>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-600074</wp:posOffset>
          </wp:positionH>
          <wp:positionV relativeFrom="paragraph">
            <wp:posOffset>11430</wp:posOffset>
          </wp:positionV>
          <wp:extent cx="2171700" cy="441960"/>
          <wp:effectExtent b="0" l="0" r="0" t="0"/>
          <wp:wrapNone/>
          <wp:docPr descr="LOGO PRODUCE 2016 - PARA FONDO A COLOR" id="6" name="image2.png"/>
          <a:graphic>
            <a:graphicData uri="http://schemas.openxmlformats.org/drawingml/2006/picture">
              <pic:pic>
                <pic:nvPicPr>
                  <pic:cNvPr descr="LOGO PRODUCE 2016 - PARA FONDO A COLOR" id="0" name="image2.png"/>
                  <pic:cNvPicPr preferRelativeResize="0"/>
                </pic:nvPicPr>
                <pic:blipFill>
                  <a:blip r:embed="rId1"/>
                  <a:srcRect b="0" l="0" r="0" t="0"/>
                  <a:stretch>
                    <a:fillRect/>
                  </a:stretch>
                </pic:blipFill>
                <pic:spPr>
                  <a:xfrm>
                    <a:off x="0" y="0"/>
                    <a:ext cx="2171700" cy="441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30480</wp:posOffset>
          </wp:positionV>
          <wp:extent cx="1592580" cy="527050"/>
          <wp:effectExtent b="0" l="0" r="0" t="0"/>
          <wp:wrapNone/>
          <wp:docPr descr="logo_sanipes-horizontal-01" id="5" name="image3.png"/>
          <a:graphic>
            <a:graphicData uri="http://schemas.openxmlformats.org/drawingml/2006/picture">
              <pic:pic>
                <pic:nvPicPr>
                  <pic:cNvPr descr="logo_sanipes-horizontal-01" id="0" name="image3.png"/>
                  <pic:cNvPicPr preferRelativeResize="0"/>
                </pic:nvPicPr>
                <pic:blipFill>
                  <a:blip r:embed="rId2"/>
                  <a:srcRect b="0" l="0" r="0" t="0"/>
                  <a:stretch>
                    <a:fillRect/>
                  </a:stretch>
                </pic:blipFill>
                <pic:spPr>
                  <a:xfrm>
                    <a:off x="0" y="0"/>
                    <a:ext cx="1592580" cy="527050"/>
                  </a:xfrm>
                  <a:prstGeom prst="rect"/>
                  <a:ln/>
                </pic:spPr>
              </pic:pic>
            </a:graphicData>
          </a:graphic>
        </wp:anchor>
      </w:drawing>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sz w:val="18"/>
        <w:szCs w:val="1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“Decenio de la Igualdad de Oportunidades para Mujeres y Hombres”</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Fortalecimiento de la Soberanía Nacional”</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Bicentenario del Congreso de la República del Perú”</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rFonts w:ascii="Arial" w:cs="Arial" w:eastAsia="Arial" w:hAnsi="Arial"/>
        <w:color w:val="202124"/>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rPr>
      <w:sz w:val="22"/>
      <w:szCs w:val="22"/>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pPr>
      <w:spacing w:after="160" w:line="259" w:lineRule="auto"/>
    </w:pPr>
    <w:rPr>
      <w:sz w:val="22"/>
      <w:szCs w:val="22"/>
    </w:rPr>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pPr>
      <w:spacing w:after="160" w:line="259" w:lineRule="auto"/>
    </w:pPr>
    <w:rPr>
      <w:sz w:val="22"/>
      <w:szCs w:val="22"/>
    </w:rPr>
    <w:tblPr>
      <w:tblCellMar>
        <w:top w:w="0.0" w:type="dxa"/>
        <w:left w:w="0.0" w:type="dxa"/>
        <w:bottom w:w="0.0" w:type="dxa"/>
        <w:right w:w="0.0" w:type="dxa"/>
      </w:tblCellMar>
    </w:tblPr>
  </w:style>
  <w:style w:type="table" w:styleId="TableNormal1" w:customStyle="1">
    <w:name w:val="Table Normal"/>
    <w:pPr>
      <w:spacing w:after="160" w:line="259" w:lineRule="auto"/>
    </w:pPr>
    <w:rPr>
      <w:sz w:val="22"/>
      <w:szCs w:val="22"/>
    </w:rPr>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BE157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E1572"/>
  </w:style>
  <w:style w:type="paragraph" w:styleId="Piedepgina">
    <w:name w:val="footer"/>
    <w:basedOn w:val="Normal"/>
    <w:link w:val="PiedepginaCar"/>
    <w:uiPriority w:val="99"/>
    <w:unhideWhenUsed w:val="1"/>
    <w:rsid w:val="00BE157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E1572"/>
  </w:style>
  <w:style w:type="table" w:styleId="Tablaconcuadrcula">
    <w:name w:val="Table Grid"/>
    <w:basedOn w:val="Tablanormal"/>
    <w:uiPriority w:val="39"/>
    <w:rsid w:val="00BE15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C436F2"/>
    <w:pPr>
      <w:spacing w:after="0" w:line="240" w:lineRule="auto"/>
    </w:pPr>
    <w:rPr>
      <w:rFonts w:ascii="Segoe UI" w:cs="Segoe UI" w:hAnsi="Segoe UI"/>
      <w:sz w:val="18"/>
      <w:szCs w:val="18"/>
    </w:rPr>
  </w:style>
  <w:style w:type="character" w:styleId="TextodegloboCar" w:customStyle="1">
    <w:name w:val="Texto de globo Car"/>
    <w:link w:val="Textodeglobo"/>
    <w:uiPriority w:val="99"/>
    <w:semiHidden w:val="1"/>
    <w:rsid w:val="00C436F2"/>
    <w:rPr>
      <w:rFonts w:ascii="Segoe UI" w:cs="Segoe UI" w:hAnsi="Segoe UI"/>
      <w:sz w:val="18"/>
      <w:szCs w:val="18"/>
    </w:rPr>
  </w:style>
  <w:style w:type="paragraph" w:styleId="Listavistosa-nfasis11" w:customStyle="1">
    <w:name w:val="Lista vistosa - Énfasis 11"/>
    <w:aliases w:val="Titulo de Fígura,TITULO A,Cuadro 2-1,Fundamentacion,Bulleted List,Párrafo de lista2,Titulo parrafo,Punto,3,Iz - Párrafo de lista,Sivsa Parrafo,Footnote,List Paragraph1,Lista 123,Number List 1,Bullet 1"/>
    <w:basedOn w:val="Normal"/>
    <w:link w:val="Listavistosa-nfasis1Car"/>
    <w:uiPriority w:val="34"/>
    <w:qFormat w:val="1"/>
    <w:rsid w:val="001D77CA"/>
    <w:pPr>
      <w:ind w:left="720"/>
      <w:contextualSpacing w:val="1"/>
    </w:pPr>
  </w:style>
  <w:style w:type="paragraph" w:styleId="Textoindependiente">
    <w:name w:val="Body Text"/>
    <w:basedOn w:val="Normal"/>
    <w:link w:val="TextoindependienteCar"/>
    <w:uiPriority w:val="1"/>
    <w:qFormat w:val="1"/>
    <w:rsid w:val="00CB67ED"/>
    <w:pPr>
      <w:widowControl w:val="0"/>
      <w:autoSpaceDE w:val="0"/>
      <w:autoSpaceDN w:val="0"/>
      <w:spacing w:after="0" w:line="240" w:lineRule="auto"/>
    </w:pPr>
    <w:rPr>
      <w:rFonts w:ascii="Arial MT" w:cs="Arial MT" w:eastAsia="Arial MT" w:hAnsi="Arial MT"/>
      <w:sz w:val="20"/>
      <w:szCs w:val="20"/>
      <w:lang w:val="es-ES"/>
    </w:rPr>
  </w:style>
  <w:style w:type="character" w:styleId="TextoindependienteCar" w:customStyle="1">
    <w:name w:val="Texto independiente Car"/>
    <w:link w:val="Textoindependiente"/>
    <w:uiPriority w:val="1"/>
    <w:rsid w:val="00CB67ED"/>
    <w:rPr>
      <w:rFonts w:ascii="Arial MT" w:cs="Arial MT" w:eastAsia="Arial MT" w:hAnsi="Arial MT"/>
      <w:sz w:val="20"/>
      <w:szCs w:val="20"/>
      <w:lang w:val="es-ES"/>
    </w:rPr>
  </w:style>
  <w:style w:type="paragraph" w:styleId="Ttulo11" w:customStyle="1">
    <w:name w:val="Título 11"/>
    <w:basedOn w:val="Normal"/>
    <w:uiPriority w:val="1"/>
    <w:qFormat w:val="1"/>
    <w:rsid w:val="00894001"/>
    <w:pPr>
      <w:widowControl w:val="0"/>
      <w:autoSpaceDE w:val="0"/>
      <w:autoSpaceDN w:val="0"/>
      <w:spacing w:after="0" w:line="240" w:lineRule="auto"/>
      <w:outlineLvl w:val="1"/>
    </w:pPr>
    <w:rPr>
      <w:rFonts w:ascii="Arial" w:cs="Arial" w:eastAsia="Arial" w:hAnsi="Arial"/>
      <w:b w:val="1"/>
      <w:bCs w:val="1"/>
      <w:lang w:val="es-ES"/>
    </w:rPr>
  </w:style>
  <w:style w:type="paragraph" w:styleId="Normal1" w:customStyle="1">
    <w:name w:val="Normal1"/>
    <w:rsid w:val="00894001"/>
    <w:pPr>
      <w:spacing w:after="160" w:line="259" w:lineRule="auto"/>
    </w:pPr>
    <w:rPr>
      <w:sz w:val="22"/>
      <w:szCs w:val="22"/>
      <w:lang w:eastAsia="es-ES"/>
    </w:rPr>
  </w:style>
  <w:style w:type="paragraph" w:styleId="Ttulo12" w:customStyle="1">
    <w:name w:val="Título 12"/>
    <w:basedOn w:val="Normal"/>
    <w:uiPriority w:val="1"/>
    <w:qFormat w:val="1"/>
    <w:rsid w:val="0030180D"/>
    <w:pPr>
      <w:widowControl w:val="0"/>
      <w:autoSpaceDE w:val="0"/>
      <w:autoSpaceDN w:val="0"/>
      <w:spacing w:after="0" w:line="240" w:lineRule="auto"/>
      <w:outlineLvl w:val="1"/>
    </w:pPr>
    <w:rPr>
      <w:rFonts w:ascii="Arial" w:cs="Arial" w:eastAsia="Arial" w:hAnsi="Arial"/>
      <w:b w:val="1"/>
      <w:bCs w:val="1"/>
      <w:lang w:val="es-ES"/>
    </w:rPr>
  </w:style>
  <w:style w:type="paragraph" w:styleId="Normal2" w:customStyle="1">
    <w:name w:val="Normal2"/>
    <w:rsid w:val="0030180D"/>
    <w:pPr>
      <w:spacing w:after="160" w:line="259" w:lineRule="auto"/>
    </w:pPr>
    <w:rPr>
      <w:sz w:val="22"/>
      <w:szCs w:val="22"/>
      <w:lang w:eastAsia="es-ES"/>
    </w:rPr>
  </w:style>
  <w:style w:type="table" w:styleId="NormalTable0" w:customStyle="1">
    <w:name w:val="Normal Table0"/>
    <w:uiPriority w:val="2"/>
    <w:semiHidden w:val="1"/>
    <w:unhideWhenUsed w:val="1"/>
    <w:qFormat w:val="1"/>
    <w:rsid w:val="001652F9"/>
    <w:pPr>
      <w:widowControl w:val="0"/>
      <w:autoSpaceDE w:val="0"/>
      <w:autoSpaceDN w:val="0"/>
      <w:spacing w:after="160" w:line="259" w:lineRule="auto"/>
    </w:pPr>
    <w:rPr>
      <w:sz w:val="22"/>
      <w:szCs w:val="22"/>
      <w:lang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1652F9"/>
    <w:pPr>
      <w:widowControl w:val="0"/>
      <w:autoSpaceDE w:val="0"/>
      <w:autoSpaceDN w:val="0"/>
      <w:spacing w:after="0" w:line="240" w:lineRule="auto"/>
    </w:pPr>
    <w:rPr>
      <w:rFonts w:ascii="Arial MT" w:cs="Arial MT" w:eastAsia="Arial MT" w:hAnsi="Arial MT"/>
      <w:lang w:val="es-ES"/>
    </w:rPr>
  </w:style>
  <w:style w:type="character" w:styleId="Listavistosa-nfasis1Car" w:customStyle="1">
    <w:name w:val="Lista vistosa - Énfasis 1 Car"/>
    <w:aliases w:val="Titulo de Fígura Car,TITULO A Car,Cuadro 2-1 Car,Fundamentacion Car,Bulleted List Car,Lista vistosa - Énfasis 11 Car,Párrafo de lista2 Car,Titulo parrafo Car,Punto Car,3 Car,Iz - Párrafo de lista Car,Sivsa Parrafo Car"/>
    <w:link w:val="Listavistosa-nfasis11"/>
    <w:uiPriority w:val="34"/>
    <w:qFormat w:val="1"/>
    <w:rsid w:val="00F01C57"/>
  </w:style>
  <w:style w:type="character" w:styleId="Hipervnculo">
    <w:name w:val="Hyperlink"/>
    <w:uiPriority w:val="99"/>
    <w:unhideWhenUsed w:val="1"/>
    <w:rsid w:val="00F01C57"/>
    <w:rPr>
      <w:color w:val="0563c1"/>
      <w:u w:val="single"/>
    </w:rPr>
  </w:style>
  <w:style w:type="character" w:styleId="fontstyle01" w:customStyle="1">
    <w:name w:val="fontstyle01"/>
    <w:rsid w:val="00F01C57"/>
    <w:rPr>
      <w:rFonts w:ascii="Calibri" w:hAnsi="Calibri" w:hint="default"/>
      <w:b w:val="0"/>
      <w:bCs w:val="0"/>
      <w:i w:val="0"/>
      <w:iCs w:val="0"/>
      <w:color w:val="000000"/>
      <w:sz w:val="22"/>
      <w:szCs w:val="22"/>
    </w:rPr>
  </w:style>
  <w:style w:type="paragraph" w:styleId="Cuadrculamedia21" w:customStyle="1">
    <w:name w:val="Cuadrícula media 21"/>
    <w:uiPriority w:val="1"/>
    <w:qFormat w:val="1"/>
    <w:rsid w:val="00683A43"/>
    <w:pPr>
      <w:spacing w:after="160" w:line="259" w:lineRule="auto"/>
    </w:pPr>
    <w:rPr>
      <w:sz w:val="22"/>
      <w:szCs w:val="22"/>
    </w:rPr>
  </w:style>
  <w:style w:type="paragraph" w:styleId="Sinespaciado">
    <w:name w:val="No Spacing"/>
    <w:uiPriority w:val="1"/>
    <w:qFormat w:val="1"/>
    <w:rPr>
      <w:sz w:val="22"/>
      <w:szCs w:val="2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Mencinsinresolver">
    <w:name w:val="Unresolved Mention"/>
    <w:uiPriority w:val="99"/>
    <w:semiHidden w:val="1"/>
    <w:unhideWhenUsed w:val="1"/>
    <w:rsid w:val="009C5272"/>
    <w:rPr>
      <w:color w:val="605e5c"/>
      <w:shd w:color="auto" w:fill="e1dfdd" w:val="clear"/>
    </w:rPr>
  </w:style>
  <w:style w:type="paragraph" w:styleId="Prrafodelista">
    <w:name w:val="List Paragraph"/>
    <w:aliases w:val="NIVEL ONE,paul2,Cita Pie de Página,titulo,Titulo 1,SubPárrafo de lista,NUMBERED PARAGRAPH,List Paragraph 1,References,lp1,Ha,List Paragraph"/>
    <w:basedOn w:val="Normal"/>
    <w:uiPriority w:val="34"/>
    <w:qFormat w:val="1"/>
    <w:rsid w:val="00674108"/>
    <w:pPr>
      <w:ind w:left="720"/>
      <w:contextualSpacing w:val="1"/>
    </w:pPr>
    <w:rPr>
      <w:rFonts w:asciiTheme="minorHAnsi" w:cstheme="minorBidi" w:eastAsiaTheme="minorHAnsi" w:hAnsiTheme="minorHAnsi"/>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w3AGsaYxHGhnqtlDjPnFwN+CZA==">AMUW2mXCmDVvpishVRAkv9vpTPjgqRl1et8Hclh+prA4HPmYZ9h8VFFbY7PvcMSrlO4rUV7PfhLJ6RSIo5cdPvL2gn07n05kmUHyahWdBoDs8U9PjfVchAkhkhzU1Y2F30df+XTfXXIx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2022-05-20T23:32:00Z</dcterms:created>
  <dc:creator>Comunicaciones</dc:creator>
</cp:coreProperties>
</file>