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01FC0" w14:textId="77777777" w:rsidR="00C552C3" w:rsidRDefault="00EF64FF" w:rsidP="00C552C3">
      <w:pPr>
        <w:shd w:val="clear" w:color="auto" w:fill="FFFFFF"/>
        <w:jc w:val="center"/>
        <w:rPr>
          <w:rFonts w:ascii="Arial" w:eastAsia="Arial" w:hAnsi="Arial" w:cs="Arial"/>
          <w:b/>
          <w:u w:val="single"/>
        </w:rPr>
      </w:pPr>
      <w:r>
        <w:tab/>
      </w:r>
      <w:r w:rsidR="00C552C3">
        <w:rPr>
          <w:rFonts w:ascii="Arial" w:eastAsia="Arial" w:hAnsi="Arial" w:cs="Arial"/>
          <w:b/>
          <w:color w:val="000000"/>
          <w:u w:val="single"/>
        </w:rPr>
        <w:t>NOTA DE PRENSA </w:t>
      </w:r>
    </w:p>
    <w:p w14:paraId="4ABEE177" w14:textId="77777777" w:rsidR="00C552C3" w:rsidRDefault="00C552C3" w:rsidP="00C552C3">
      <w:pPr>
        <w:shd w:val="clear" w:color="auto" w:fill="FFFFFF"/>
        <w:jc w:val="center"/>
        <w:rPr>
          <w:rFonts w:ascii="Arial" w:eastAsia="Arial" w:hAnsi="Arial" w:cs="Arial"/>
          <w:b/>
          <w:sz w:val="10"/>
          <w:szCs w:val="10"/>
          <w:u w:val="single"/>
        </w:rPr>
      </w:pPr>
    </w:p>
    <w:p w14:paraId="7E86BC12" w14:textId="799A2249" w:rsidR="00C552C3" w:rsidRPr="00C552C3" w:rsidRDefault="00C552C3" w:rsidP="00C552C3">
      <w:pPr>
        <w:pBdr>
          <w:top w:val="nil"/>
          <w:left w:val="nil"/>
          <w:bottom w:val="nil"/>
          <w:right w:val="nil"/>
          <w:between w:val="nil"/>
        </w:pBdr>
        <w:ind w:left="-142" w:right="-143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Sanipes capacitará 5 mil agentes de la cadena productiva de los alimentos hidrobiológicos hasta fin de año</w:t>
      </w:r>
    </w:p>
    <w:p w14:paraId="11E9ED83" w14:textId="6EEFD5CF" w:rsidR="00C552C3" w:rsidRPr="00C552C3" w:rsidRDefault="00C552C3" w:rsidP="00C552C3">
      <w:pPr>
        <w:shd w:val="clear" w:color="auto" w:fill="FFFFFF"/>
        <w:spacing w:line="259" w:lineRule="auto"/>
        <w:ind w:left="-142" w:right="-143"/>
        <w:jc w:val="both"/>
        <w:rPr>
          <w:rFonts w:ascii="Arial" w:eastAsia="Arial" w:hAnsi="Arial" w:cs="Arial"/>
          <w:i/>
          <w:sz w:val="19"/>
          <w:szCs w:val="19"/>
        </w:rPr>
      </w:pPr>
      <w:r w:rsidRPr="00C552C3">
        <w:rPr>
          <w:rFonts w:ascii="Arial" w:eastAsia="Arial" w:hAnsi="Arial" w:cs="Arial"/>
          <w:i/>
          <w:sz w:val="19"/>
          <w:szCs w:val="19"/>
        </w:rPr>
        <w:t>En los</w:t>
      </w:r>
      <w:r w:rsidR="00E359D9">
        <w:rPr>
          <w:rFonts w:ascii="Arial" w:eastAsia="Arial" w:hAnsi="Arial" w:cs="Arial"/>
          <w:i/>
          <w:sz w:val="19"/>
          <w:szCs w:val="19"/>
        </w:rPr>
        <w:t xml:space="preserve"> cinco</w:t>
      </w:r>
      <w:r w:rsidRPr="00C552C3">
        <w:rPr>
          <w:rFonts w:ascii="Arial" w:eastAsia="Arial" w:hAnsi="Arial" w:cs="Arial"/>
          <w:i/>
          <w:sz w:val="19"/>
          <w:szCs w:val="19"/>
        </w:rPr>
        <w:t xml:space="preserve"> primeros meses, se realizó 3</w:t>
      </w:r>
      <w:r w:rsidR="00E359D9">
        <w:rPr>
          <w:rFonts w:ascii="Arial" w:eastAsia="Arial" w:hAnsi="Arial" w:cs="Arial"/>
          <w:i/>
          <w:sz w:val="19"/>
          <w:szCs w:val="19"/>
        </w:rPr>
        <w:t>7</w:t>
      </w:r>
      <w:r w:rsidRPr="00C552C3">
        <w:rPr>
          <w:rFonts w:ascii="Arial" w:eastAsia="Arial" w:hAnsi="Arial" w:cs="Arial"/>
          <w:i/>
          <w:sz w:val="19"/>
          <w:szCs w:val="19"/>
        </w:rPr>
        <w:t xml:space="preserve"> eventos de difusión de la normativa sanitaria con participación de más de </w:t>
      </w:r>
      <w:r w:rsidR="00E359D9">
        <w:rPr>
          <w:rFonts w:ascii="Arial" w:eastAsia="Arial" w:hAnsi="Arial" w:cs="Arial"/>
          <w:i/>
          <w:sz w:val="19"/>
          <w:szCs w:val="19"/>
        </w:rPr>
        <w:t xml:space="preserve">dos </w:t>
      </w:r>
      <w:r w:rsidRPr="00C552C3">
        <w:rPr>
          <w:rFonts w:ascii="Arial" w:eastAsia="Arial" w:hAnsi="Arial" w:cs="Arial"/>
          <w:i/>
          <w:sz w:val="19"/>
          <w:szCs w:val="19"/>
        </w:rPr>
        <w:t>mil acuicultores, pescadores artesanales, comerciantes y transportistas a nivel nacional</w:t>
      </w:r>
    </w:p>
    <w:p w14:paraId="41C0CEB2" w14:textId="56496E84" w:rsidR="00EB0E2E" w:rsidRDefault="00EB0E2E" w:rsidP="00C552C3">
      <w:pPr>
        <w:ind w:left="-142" w:right="-143"/>
        <w:jc w:val="both"/>
      </w:pPr>
    </w:p>
    <w:p w14:paraId="2D4C7C88" w14:textId="77777777" w:rsidR="00C552C3" w:rsidRDefault="00C552C3" w:rsidP="00C552C3">
      <w:pPr>
        <w:ind w:left="-142" w:right="-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Ministerio de la Producción, a través del Organismo Nacional de Sanidad Pesquera (Sanipes), informa que este 2022 se llegará a la meta de capacitar a cerca de 5 mil agentes de la cadena productiva de los alimentos hidrobiológicos, </w:t>
      </w:r>
      <w:r>
        <w:rPr>
          <w:rFonts w:ascii="Arial" w:eastAsia="Arial" w:hAnsi="Arial" w:cs="Arial"/>
          <w:color w:val="26292E"/>
          <w:sz w:val="20"/>
          <w:szCs w:val="20"/>
          <w:shd w:val="clear" w:color="auto" w:fill="FDFDFD"/>
        </w:rPr>
        <w:t>quienes son los principales operadores de la pesca y acuicultura, reforzando así sus conocimientos lo que agrega valor a su labor cotidiana.</w:t>
      </w:r>
    </w:p>
    <w:p w14:paraId="6A52387B" w14:textId="77777777" w:rsidR="00C552C3" w:rsidRDefault="00C552C3" w:rsidP="00C552C3">
      <w:pPr>
        <w:ind w:left="-142" w:right="-143"/>
        <w:jc w:val="both"/>
        <w:rPr>
          <w:rFonts w:ascii="Arial" w:eastAsia="Arial" w:hAnsi="Arial" w:cs="Arial"/>
          <w:sz w:val="20"/>
          <w:szCs w:val="20"/>
        </w:rPr>
      </w:pPr>
    </w:p>
    <w:p w14:paraId="6F4DC708" w14:textId="009EE743" w:rsidR="00C552C3" w:rsidRDefault="00C552C3" w:rsidP="00C552C3">
      <w:pPr>
        <w:ind w:left="-142" w:right="-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Son más de 3000 agentes de la pesca artesanal, 800 acuicultores, 600 comerciantes y transportistas y otros cientos de personas ligadas al sector a nivel nacional, quienes verán reforzados su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conocimientos en la normativa sanitaria, las herramientas regulatorias y los criterios sanitarios para vigilar la sanidad de las especies y garantizar la inocuidad de los productos.</w:t>
      </w:r>
    </w:p>
    <w:p w14:paraId="15D983E2" w14:textId="77777777" w:rsidR="00C552C3" w:rsidRDefault="00C552C3" w:rsidP="00C552C3">
      <w:pPr>
        <w:ind w:left="-142" w:right="-143"/>
        <w:jc w:val="both"/>
        <w:rPr>
          <w:rFonts w:ascii="Arial" w:eastAsia="Arial" w:hAnsi="Arial" w:cs="Arial"/>
          <w:sz w:val="20"/>
          <w:szCs w:val="20"/>
        </w:rPr>
      </w:pPr>
    </w:p>
    <w:p w14:paraId="54A51FE2" w14:textId="77777777" w:rsidR="00C552C3" w:rsidRDefault="00C552C3" w:rsidP="00C552C3">
      <w:pPr>
        <w:ind w:left="-142" w:right="-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Este año, las capacitaciones ya se realizan de forma presencial nuevamente como práctica casi constante, las cuales fueron suspendidas por disposiciones del Ejecutivo en prevención a los contagios causados por la Covid-19 desde el 2020; actualmente </w:t>
      </w:r>
      <w:r>
        <w:rPr>
          <w:rFonts w:ascii="Arial" w:eastAsia="Arial" w:hAnsi="Arial" w:cs="Arial"/>
          <w:color w:val="000000"/>
          <w:sz w:val="20"/>
          <w:szCs w:val="20"/>
        </w:rPr>
        <w:t>se ha visto oportuno reactivar estas actividades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 las debidas medidas de seguridad, s</w:t>
      </w:r>
      <w:r>
        <w:rPr>
          <w:rFonts w:ascii="Arial" w:eastAsia="Arial" w:hAnsi="Arial" w:cs="Arial"/>
          <w:sz w:val="20"/>
          <w:szCs w:val="20"/>
        </w:rPr>
        <w:t>in descartar como alternativa la instrucción remota realizada en los años precedentes.</w:t>
      </w:r>
    </w:p>
    <w:p w14:paraId="5DC51670" w14:textId="77777777" w:rsidR="00C552C3" w:rsidRDefault="00C552C3" w:rsidP="00C552C3">
      <w:pPr>
        <w:ind w:left="-142" w:right="-143"/>
        <w:jc w:val="both"/>
        <w:rPr>
          <w:rFonts w:ascii="Arial" w:eastAsia="Arial" w:hAnsi="Arial" w:cs="Arial"/>
          <w:sz w:val="20"/>
          <w:szCs w:val="20"/>
        </w:rPr>
      </w:pPr>
    </w:p>
    <w:p w14:paraId="6CFAB1C2" w14:textId="4251E7FA" w:rsidR="00C552C3" w:rsidRDefault="00C552C3" w:rsidP="00C552C3">
      <w:pPr>
        <w:ind w:left="-142" w:right="-143"/>
        <w:jc w:val="both"/>
        <w:rPr>
          <w:rFonts w:ascii="Arial" w:eastAsia="Arial" w:hAnsi="Arial" w:cs="Arial"/>
          <w:sz w:val="20"/>
          <w:szCs w:val="20"/>
        </w:rPr>
      </w:pPr>
      <w:r w:rsidRPr="00DA2C0B">
        <w:rPr>
          <w:rFonts w:ascii="Arial" w:eastAsia="Arial" w:hAnsi="Arial" w:cs="Arial"/>
          <w:sz w:val="20"/>
          <w:szCs w:val="20"/>
        </w:rPr>
        <w:t>Cabe resaltar, que entre enero y ma</w:t>
      </w:r>
      <w:r w:rsidR="00E359D9">
        <w:rPr>
          <w:rFonts w:ascii="Arial" w:eastAsia="Arial" w:hAnsi="Arial" w:cs="Arial"/>
          <w:sz w:val="20"/>
          <w:szCs w:val="20"/>
        </w:rPr>
        <w:t>yo</w:t>
      </w:r>
      <w:r w:rsidRPr="00DA2C0B">
        <w:rPr>
          <w:rFonts w:ascii="Arial" w:eastAsia="Arial" w:hAnsi="Arial" w:cs="Arial"/>
          <w:sz w:val="20"/>
          <w:szCs w:val="20"/>
        </w:rPr>
        <w:t xml:space="preserve"> de este año ya se realizaron 37 eventos, con participación de 2338 personas</w:t>
      </w:r>
      <w:r>
        <w:rPr>
          <w:rFonts w:ascii="Arial" w:eastAsia="Arial" w:hAnsi="Arial" w:cs="Arial"/>
          <w:sz w:val="20"/>
          <w:szCs w:val="20"/>
        </w:rPr>
        <w:t xml:space="preserve"> entre </w:t>
      </w:r>
      <w:r>
        <w:rPr>
          <w:rFonts w:ascii="Arial" w:eastAsia="Arial" w:hAnsi="Arial" w:cs="Arial"/>
          <w:color w:val="000000"/>
          <w:sz w:val="20"/>
          <w:szCs w:val="20"/>
        </w:rPr>
        <w:t>pescadores artesanales embarcados y no embarcados, armadores de embarcaciones pesqueras artesanales y personal de los desembarcaderos pesqueros artesanales o puntos de descarga, agentes ligados a las actividades acuícolas, comerciantes mayoristas y minoristas de recursos y productos hidrobiológicos, transportistas y entidades del estado.</w:t>
      </w:r>
    </w:p>
    <w:p w14:paraId="68824EF8" w14:textId="77777777" w:rsidR="00C552C3" w:rsidRDefault="00C552C3" w:rsidP="00C552C3">
      <w:pPr>
        <w:ind w:left="-142" w:right="-143"/>
        <w:jc w:val="both"/>
        <w:rPr>
          <w:rFonts w:ascii="Arial" w:eastAsia="Arial" w:hAnsi="Arial" w:cs="Arial"/>
          <w:sz w:val="20"/>
          <w:szCs w:val="20"/>
        </w:rPr>
      </w:pPr>
    </w:p>
    <w:p w14:paraId="6A1C64B8" w14:textId="77777777" w:rsidR="00C552C3" w:rsidRDefault="00C552C3" w:rsidP="00C552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42" w:right="-14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Las actividades de capacitación en temas referidos a la normativa sanitaria para los agentes de la pesca artesanal se desarrolla en las regiones de Tumbes, Piura, Lambayeque, Ancash, Lima, Callao, Ica, Arequipa, Moquegua, Loreto, Puno y Tacna, incluyendo los temas relacionados a las actividades de extracción, descarga y manipulación de los recursos y productos hidrobiológicos que se desarrollan en los desembarcaderos pesqueros artesanales o puntos de descarga, las buenas prácticas pesqueras, higiene y saneamiento, inocuidad y trazabilidad.</w:t>
      </w:r>
    </w:p>
    <w:p w14:paraId="5E50E4DF" w14:textId="77777777" w:rsidR="00C552C3" w:rsidRDefault="00C552C3" w:rsidP="00C552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42" w:right="-14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0692CC8" w14:textId="6B1AAE35" w:rsidR="00C552C3" w:rsidRDefault="00C552C3" w:rsidP="00C552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42" w:right="-143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Asimismo, en Pasco, Ica, Huancavelica, Loreto, Junín, San Martín, Arequipa, Ayacucho, Cusco, Piura, Ancash, Tumbes y Puno, se realizarán las actividades de capacitación en temas referidos a la normativa sanitaria aplicable a las actividades de acuicultur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, abordando las buenas prácticas acuícolas y la importancia de la trazabilidad en sus actividades.</w:t>
      </w:r>
    </w:p>
    <w:p w14:paraId="3DE7D278" w14:textId="77777777" w:rsidR="00C552C3" w:rsidRDefault="00C552C3" w:rsidP="00C552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42" w:right="-14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18208F5" w14:textId="77777777" w:rsidR="00C552C3" w:rsidRDefault="00C552C3" w:rsidP="00C552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42" w:right="-14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Y en lo referido a las capacitaciones dedicadas a los comerciantes, transportistas, entidades del estado, entre otros, estas se desarrollarán en Tumbes, Piura, Lambayeque, Ancash, Lima, Ica, Arequipa, Moquegua, Junín, Puno y Loreto, tratando la importancia de la inocuidad y trazabilidad en sus actividades, buenas prácticas, etc.</w:t>
      </w:r>
    </w:p>
    <w:p w14:paraId="5A219312" w14:textId="4B2927C2" w:rsidR="00C552C3" w:rsidRDefault="00C552C3" w:rsidP="00C552C3">
      <w:pPr>
        <w:ind w:left="-142" w:right="-143"/>
        <w:jc w:val="both"/>
      </w:pPr>
    </w:p>
    <w:p w14:paraId="30201F71" w14:textId="7B4DB870" w:rsidR="00C552C3" w:rsidRDefault="00C552C3" w:rsidP="00C552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42" w:right="-14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Finalmente, se debe indicar </w:t>
      </w:r>
      <w:r w:rsidR="00E359D9">
        <w:rPr>
          <w:rFonts w:ascii="Arial" w:eastAsia="Arial" w:hAnsi="Arial" w:cs="Arial"/>
          <w:color w:val="000000"/>
          <w:sz w:val="20"/>
          <w:szCs w:val="20"/>
        </w:rPr>
        <w:t>que,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durante el año 2021 se realizaron 96 eventos de capacitación de manera remota, con la </w:t>
      </w:r>
      <w:r>
        <w:rPr>
          <w:rFonts w:ascii="Arial" w:eastAsia="Arial" w:hAnsi="Arial" w:cs="Arial"/>
          <w:sz w:val="20"/>
          <w:szCs w:val="20"/>
        </w:rPr>
        <w:t>participación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un total de 3805 p</w:t>
      </w:r>
      <w:bookmarkStart w:id="1" w:name="_GoBack"/>
      <w:bookmarkEnd w:id="1"/>
      <w:r>
        <w:rPr>
          <w:rFonts w:ascii="Arial" w:eastAsia="Arial" w:hAnsi="Arial" w:cs="Arial"/>
          <w:color w:val="000000"/>
          <w:sz w:val="20"/>
          <w:szCs w:val="20"/>
        </w:rPr>
        <w:t>ersonas ligadas a las actividades de la cadena productiva pesquera y acuícola.</w:t>
      </w:r>
    </w:p>
    <w:p w14:paraId="5B630BF7" w14:textId="77777777" w:rsidR="00C552C3" w:rsidRDefault="00C552C3" w:rsidP="00C552C3">
      <w:pPr>
        <w:ind w:left="-142" w:right="-143"/>
        <w:jc w:val="both"/>
        <w:rPr>
          <w:rFonts w:ascii="Arial" w:eastAsia="Arial" w:hAnsi="Arial" w:cs="Arial"/>
          <w:sz w:val="20"/>
          <w:szCs w:val="20"/>
        </w:rPr>
      </w:pPr>
    </w:p>
    <w:p w14:paraId="01CEDB60" w14:textId="77777777" w:rsidR="00C552C3" w:rsidRDefault="00C552C3" w:rsidP="00C552C3">
      <w:pPr>
        <w:ind w:left="-142" w:right="-143"/>
        <w:jc w:val="both"/>
        <w:rPr>
          <w:rFonts w:ascii="Arial" w:eastAsia="Arial" w:hAnsi="Arial" w:cs="Arial"/>
          <w:sz w:val="20"/>
          <w:szCs w:val="20"/>
        </w:rPr>
      </w:pPr>
    </w:p>
    <w:p w14:paraId="77C2A0C7" w14:textId="77777777" w:rsidR="00C552C3" w:rsidRDefault="00C552C3" w:rsidP="00C552C3">
      <w:pPr>
        <w:ind w:left="-142" w:right="-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Agradecemos su difusión.</w:t>
      </w:r>
    </w:p>
    <w:p w14:paraId="04E71513" w14:textId="77777777" w:rsidR="00C552C3" w:rsidRPr="00252174" w:rsidRDefault="00C552C3" w:rsidP="005C6B46">
      <w:pPr>
        <w:jc w:val="both"/>
      </w:pPr>
    </w:p>
    <w:sectPr w:rsidR="00C552C3" w:rsidRPr="00252174" w:rsidSect="000E7052">
      <w:headerReference w:type="default" r:id="rId8"/>
      <w:footerReference w:type="default" r:id="rId9"/>
      <w:pgSz w:w="11906" w:h="16838" w:code="9"/>
      <w:pgMar w:top="1701" w:right="1701" w:bottom="1418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BC914" w14:textId="77777777" w:rsidR="004A53C7" w:rsidRDefault="004A53C7" w:rsidP="00BE1572">
      <w:r>
        <w:separator/>
      </w:r>
    </w:p>
  </w:endnote>
  <w:endnote w:type="continuationSeparator" w:id="0">
    <w:p w14:paraId="267AAADB" w14:textId="77777777" w:rsidR="004A53C7" w:rsidRDefault="004A53C7" w:rsidP="00BE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42AAC" w14:textId="398509AB" w:rsidR="009F1006" w:rsidRDefault="00EF64FF" w:rsidP="009F1006">
    <w:r>
      <w:rPr>
        <w:noProof/>
      </w:rPr>
      <w:drawing>
        <wp:anchor distT="0" distB="0" distL="114300" distR="114300" simplePos="0" relativeHeight="251663360" behindDoc="1" locked="0" layoutInCell="1" allowOverlap="1" wp14:anchorId="78E73A75" wp14:editId="67866335">
          <wp:simplePos x="0" y="0"/>
          <wp:positionH relativeFrom="column">
            <wp:posOffset>4832985</wp:posOffset>
          </wp:positionH>
          <wp:positionV relativeFrom="paragraph">
            <wp:posOffset>77034</wp:posOffset>
          </wp:positionV>
          <wp:extent cx="1196502" cy="54942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OTIPO HORIZONTAL PEB 2021 - 2024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6502" cy="549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6E38723" wp14:editId="37C9C113">
          <wp:simplePos x="0" y="0"/>
          <wp:positionH relativeFrom="column">
            <wp:posOffset>3491865</wp:posOffset>
          </wp:positionH>
          <wp:positionV relativeFrom="paragraph">
            <wp:posOffset>-36249</wp:posOffset>
          </wp:positionV>
          <wp:extent cx="1193800" cy="77031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7703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38620B" w14:textId="14BC061F" w:rsidR="00EB0E2E" w:rsidRDefault="00EF64FF" w:rsidP="00EF64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Calle </w:t>
    </w:r>
    <w:r w:rsidR="00EB0E2E">
      <w:rPr>
        <w:rFonts w:ascii="Arial" w:eastAsia="Arial" w:hAnsi="Arial" w:cs="Arial"/>
        <w:color w:val="000000"/>
        <w:sz w:val="16"/>
        <w:szCs w:val="16"/>
      </w:rPr>
      <w:t>Amador Merino Reyna Nº 267</w:t>
    </w:r>
    <w:r>
      <w:rPr>
        <w:rFonts w:ascii="Arial" w:eastAsia="Arial" w:hAnsi="Arial" w:cs="Arial"/>
        <w:color w:val="000000"/>
        <w:sz w:val="16"/>
        <w:szCs w:val="16"/>
      </w:rPr>
      <w:t xml:space="preserve"> P</w:t>
    </w:r>
    <w:r w:rsidR="00EB0E2E">
      <w:rPr>
        <w:rFonts w:ascii="Arial" w:eastAsia="Arial" w:hAnsi="Arial" w:cs="Arial"/>
        <w:color w:val="000000"/>
        <w:sz w:val="16"/>
        <w:szCs w:val="16"/>
      </w:rPr>
      <w:t>iso 12 San Isidro - Lima</w:t>
    </w:r>
  </w:p>
  <w:p w14:paraId="002798FC" w14:textId="3915DB02" w:rsidR="009F1006" w:rsidRPr="005B5FB3" w:rsidRDefault="00EB0E2E" w:rsidP="00EF64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/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Av. Carretera a Ventanilla km 5.2 </w:t>
    </w:r>
    <w:r w:rsidR="00570763">
      <w:rPr>
        <w:rFonts w:ascii="Arial" w:eastAsia="Arial" w:hAnsi="Arial" w:cs="Arial"/>
        <w:color w:val="000000"/>
        <w:sz w:val="16"/>
        <w:szCs w:val="16"/>
      </w:rPr>
      <w:t>-</w:t>
    </w:r>
    <w:r>
      <w:rPr>
        <w:rFonts w:ascii="Arial" w:eastAsia="Arial" w:hAnsi="Arial" w:cs="Arial"/>
        <w:color w:val="000000"/>
        <w:sz w:val="16"/>
        <w:szCs w:val="16"/>
      </w:rPr>
      <w:t xml:space="preserve"> Callao</w:t>
    </w:r>
    <w:r>
      <w:rPr>
        <w:rFonts w:ascii="Arial" w:eastAsia="Arial" w:hAnsi="Arial" w:cs="Arial"/>
        <w:color w:val="000000"/>
        <w:sz w:val="16"/>
        <w:szCs w:val="16"/>
      </w:rPr>
      <w:br/>
      <w:t>www.gob.pe/sanipes</w:t>
    </w:r>
  </w:p>
  <w:p w14:paraId="19E1F363" w14:textId="6146742B" w:rsidR="00110886" w:rsidRDefault="00110886" w:rsidP="00636CA8">
    <w:pPr>
      <w:tabs>
        <w:tab w:val="left" w:pos="-284"/>
      </w:tabs>
      <w:spacing w:line="360" w:lineRule="auto"/>
      <w:ind w:right="-568" w:hanging="426"/>
      <w:jc w:val="both"/>
      <w:rPr>
        <w:rFonts w:cstheme="minorHAnsi"/>
        <w:b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AF1DD" w14:textId="77777777" w:rsidR="004A53C7" w:rsidRDefault="004A53C7" w:rsidP="00BE1572">
      <w:r>
        <w:separator/>
      </w:r>
    </w:p>
  </w:footnote>
  <w:footnote w:type="continuationSeparator" w:id="0">
    <w:p w14:paraId="1D6F8BD8" w14:textId="77777777" w:rsidR="004A53C7" w:rsidRDefault="004A53C7" w:rsidP="00BE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19F44" w14:textId="77777777" w:rsidR="00636CA8" w:rsidRDefault="00636CA8" w:rsidP="00636CA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1ECEEF" wp14:editId="14F56E89">
          <wp:simplePos x="0" y="0"/>
          <wp:positionH relativeFrom="column">
            <wp:posOffset>-600075</wp:posOffset>
          </wp:positionH>
          <wp:positionV relativeFrom="paragraph">
            <wp:posOffset>11430</wp:posOffset>
          </wp:positionV>
          <wp:extent cx="2171700" cy="441960"/>
          <wp:effectExtent l="0" t="0" r="0" b="0"/>
          <wp:wrapNone/>
          <wp:docPr id="17" name="Imagen 17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4" descr="LOGO PRODUCE 2016 - PARA FONDO 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69E2ABA" wp14:editId="1CD9FAD0">
          <wp:simplePos x="0" y="0"/>
          <wp:positionH relativeFrom="column">
            <wp:posOffset>4200525</wp:posOffset>
          </wp:positionH>
          <wp:positionV relativeFrom="paragraph">
            <wp:posOffset>30480</wp:posOffset>
          </wp:positionV>
          <wp:extent cx="1592580" cy="527050"/>
          <wp:effectExtent l="0" t="0" r="7620" b="6350"/>
          <wp:wrapNone/>
          <wp:docPr id="18" name="Imagen 18" descr="logo_sanipes-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" descr="logo_sanipes-horizontal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E7DC4D" w14:textId="77777777" w:rsidR="00636CA8" w:rsidRDefault="00636CA8" w:rsidP="00636CA8">
    <w:pPr>
      <w:pStyle w:val="Encabezado"/>
    </w:pPr>
  </w:p>
  <w:p w14:paraId="73FB65B0" w14:textId="77777777" w:rsidR="00636CA8" w:rsidRDefault="00636CA8" w:rsidP="00636CA8">
    <w:pPr>
      <w:pStyle w:val="Encabezado"/>
    </w:pPr>
  </w:p>
  <w:p w14:paraId="0E790A79" w14:textId="77777777" w:rsidR="00636CA8" w:rsidRDefault="00636CA8" w:rsidP="00636CA8">
    <w:pPr>
      <w:pStyle w:val="Encabezado"/>
      <w:jc w:val="center"/>
      <w:rPr>
        <w:sz w:val="18"/>
        <w:szCs w:val="18"/>
      </w:rPr>
    </w:pPr>
  </w:p>
  <w:p w14:paraId="26317CCB" w14:textId="4F9B1DBD" w:rsidR="00740DB7" w:rsidRDefault="00740DB7" w:rsidP="00740DB7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“Decenio de la Igualdad de Oportunidades para Mujeres y Hombres”</w:t>
    </w:r>
  </w:p>
  <w:p w14:paraId="0CD0BAF9" w14:textId="7B32DE8C" w:rsidR="006A5BF6" w:rsidRDefault="006A5BF6" w:rsidP="00740DB7">
    <w:pPr>
      <w:pStyle w:val="Encabezado"/>
      <w:jc w:val="center"/>
      <w:rPr>
        <w:rFonts w:ascii="Arial" w:hAnsi="Arial" w:cs="Arial"/>
        <w:sz w:val="16"/>
        <w:szCs w:val="16"/>
      </w:rPr>
    </w:pPr>
    <w:r w:rsidRPr="00F63FBF">
      <w:rPr>
        <w:rFonts w:ascii="Arial" w:hAnsi="Arial" w:cs="Arial"/>
        <w:sz w:val="16"/>
        <w:szCs w:val="16"/>
      </w:rPr>
      <w:t>“Año del Fortalecimiento de la Soberanía Nacional”</w:t>
    </w:r>
  </w:p>
  <w:p w14:paraId="69909F90" w14:textId="6C463725" w:rsidR="00570763" w:rsidRDefault="00570763" w:rsidP="00740DB7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“Año del Bicentenario del Congreso de la República del Perú”</w:t>
    </w:r>
  </w:p>
  <w:p w14:paraId="763E89A6" w14:textId="2B573558" w:rsidR="00636CA8" w:rsidRPr="00740DB7" w:rsidRDefault="00636CA8" w:rsidP="00740DB7">
    <w:pPr>
      <w:pStyle w:val="Encabezado"/>
      <w:jc w:val="center"/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E9F"/>
    <w:multiLevelType w:val="hybridMultilevel"/>
    <w:tmpl w:val="CC94EEE0"/>
    <w:lvl w:ilvl="0" w:tplc="CB9496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C66A6"/>
    <w:multiLevelType w:val="hybridMultilevel"/>
    <w:tmpl w:val="01C05EC2"/>
    <w:lvl w:ilvl="0" w:tplc="8EEC9A74">
      <w:start w:val="2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F3013"/>
    <w:multiLevelType w:val="hybridMultilevel"/>
    <w:tmpl w:val="2BD26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72"/>
    <w:rsid w:val="00057CC6"/>
    <w:rsid w:val="000E7052"/>
    <w:rsid w:val="00104B80"/>
    <w:rsid w:val="00110886"/>
    <w:rsid w:val="00127FED"/>
    <w:rsid w:val="001326C8"/>
    <w:rsid w:val="00135506"/>
    <w:rsid w:val="00140CFB"/>
    <w:rsid w:val="00176B18"/>
    <w:rsid w:val="001B03D6"/>
    <w:rsid w:val="001C50EA"/>
    <w:rsid w:val="001D35A9"/>
    <w:rsid w:val="001D77CA"/>
    <w:rsid w:val="00236783"/>
    <w:rsid w:val="00252174"/>
    <w:rsid w:val="002B7799"/>
    <w:rsid w:val="002D6861"/>
    <w:rsid w:val="002F1EA2"/>
    <w:rsid w:val="002F4831"/>
    <w:rsid w:val="00301671"/>
    <w:rsid w:val="003158CF"/>
    <w:rsid w:val="00324CF6"/>
    <w:rsid w:val="0036355B"/>
    <w:rsid w:val="00365050"/>
    <w:rsid w:val="003741E6"/>
    <w:rsid w:val="003932BE"/>
    <w:rsid w:val="003E315E"/>
    <w:rsid w:val="00492029"/>
    <w:rsid w:val="004A53C7"/>
    <w:rsid w:val="00525B58"/>
    <w:rsid w:val="005272F5"/>
    <w:rsid w:val="00552B43"/>
    <w:rsid w:val="00570763"/>
    <w:rsid w:val="00571DD5"/>
    <w:rsid w:val="00571F4E"/>
    <w:rsid w:val="005C6B46"/>
    <w:rsid w:val="00602687"/>
    <w:rsid w:val="006160CC"/>
    <w:rsid w:val="0063379B"/>
    <w:rsid w:val="00636CA8"/>
    <w:rsid w:val="006A473A"/>
    <w:rsid w:val="006A5BF6"/>
    <w:rsid w:val="006D2D9E"/>
    <w:rsid w:val="006F4E67"/>
    <w:rsid w:val="00740DB7"/>
    <w:rsid w:val="00761909"/>
    <w:rsid w:val="007B2E1E"/>
    <w:rsid w:val="007D1B11"/>
    <w:rsid w:val="007E592D"/>
    <w:rsid w:val="00835754"/>
    <w:rsid w:val="008444D3"/>
    <w:rsid w:val="00846064"/>
    <w:rsid w:val="0088260F"/>
    <w:rsid w:val="00883722"/>
    <w:rsid w:val="008E545D"/>
    <w:rsid w:val="008F4DBC"/>
    <w:rsid w:val="00901279"/>
    <w:rsid w:val="00942827"/>
    <w:rsid w:val="00943DFF"/>
    <w:rsid w:val="00954658"/>
    <w:rsid w:val="009A4A54"/>
    <w:rsid w:val="009B706F"/>
    <w:rsid w:val="009F1006"/>
    <w:rsid w:val="00A43329"/>
    <w:rsid w:val="00A518D1"/>
    <w:rsid w:val="00A717EC"/>
    <w:rsid w:val="00A84048"/>
    <w:rsid w:val="00AC7A9A"/>
    <w:rsid w:val="00AD3EF3"/>
    <w:rsid w:val="00AD7ADF"/>
    <w:rsid w:val="00B0798B"/>
    <w:rsid w:val="00B116A6"/>
    <w:rsid w:val="00B360DD"/>
    <w:rsid w:val="00B403CD"/>
    <w:rsid w:val="00BE1572"/>
    <w:rsid w:val="00C436F2"/>
    <w:rsid w:val="00C52277"/>
    <w:rsid w:val="00C552C3"/>
    <w:rsid w:val="00C55CEC"/>
    <w:rsid w:val="00C61DDA"/>
    <w:rsid w:val="00C738E0"/>
    <w:rsid w:val="00CA6595"/>
    <w:rsid w:val="00D72E12"/>
    <w:rsid w:val="00D93D7B"/>
    <w:rsid w:val="00E10885"/>
    <w:rsid w:val="00E146FD"/>
    <w:rsid w:val="00E359D9"/>
    <w:rsid w:val="00E71473"/>
    <w:rsid w:val="00E916F7"/>
    <w:rsid w:val="00E92A9B"/>
    <w:rsid w:val="00EB0DC0"/>
    <w:rsid w:val="00EB0E2E"/>
    <w:rsid w:val="00EB53D9"/>
    <w:rsid w:val="00EF64FF"/>
    <w:rsid w:val="00F02D57"/>
    <w:rsid w:val="00F15978"/>
    <w:rsid w:val="00F25C61"/>
    <w:rsid w:val="00F273FA"/>
    <w:rsid w:val="00F45FF2"/>
    <w:rsid w:val="00F55D60"/>
    <w:rsid w:val="00F5624A"/>
    <w:rsid w:val="00F6755A"/>
    <w:rsid w:val="00F85DE1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7CF8C8"/>
  <w15:docId w15:val="{95CC887F-BD8F-411B-BD6C-34287A4D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5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572"/>
  </w:style>
  <w:style w:type="paragraph" w:styleId="Piedepgina">
    <w:name w:val="footer"/>
    <w:basedOn w:val="Normal"/>
    <w:link w:val="PiedepginaCar"/>
    <w:uiPriority w:val="99"/>
    <w:unhideWhenUsed/>
    <w:rsid w:val="00BE15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572"/>
  </w:style>
  <w:style w:type="table" w:styleId="Tablaconcuadrcula">
    <w:name w:val="Table Grid"/>
    <w:basedOn w:val="Tablanormal"/>
    <w:uiPriority w:val="39"/>
    <w:rsid w:val="00BE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36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6F2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1D77C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A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6A5BF6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6A5B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B53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B53D9"/>
    <w:rPr>
      <w:rFonts w:eastAsiaTheme="minorEastAsia"/>
      <w:color w:val="5A5A5A" w:themeColor="text1" w:themeTint="A5"/>
      <w:spacing w:val="15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EB53D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0C28D6-7EB4-B841-8B62-E8440075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Valdivia Cumpa</dc:creator>
  <cp:keywords/>
  <dc:description/>
  <cp:lastModifiedBy>Usuario de Microsoft Office</cp:lastModifiedBy>
  <cp:revision>36</cp:revision>
  <cp:lastPrinted>2019-02-26T16:32:00Z</cp:lastPrinted>
  <dcterms:created xsi:type="dcterms:W3CDTF">2022-05-20T17:23:00Z</dcterms:created>
  <dcterms:modified xsi:type="dcterms:W3CDTF">2022-06-21T00:22:00Z</dcterms:modified>
</cp:coreProperties>
</file>