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Arial" w:cs="Arial" w:eastAsia="Arial" w:hAnsi="Arial"/>
          <w:b w:val="1"/>
          <w:u w:val="single"/>
        </w:rPr>
      </w:pPr>
      <w:r w:rsidDel="00000000" w:rsidR="00000000" w:rsidRPr="00000000">
        <w:rPr>
          <w:rtl w:val="0"/>
        </w:rPr>
        <w:tab/>
      </w:r>
      <w:r w:rsidDel="00000000" w:rsidR="00000000" w:rsidRPr="00000000">
        <w:rPr>
          <w:rFonts w:ascii="Arial" w:cs="Arial" w:eastAsia="Arial" w:hAnsi="Arial"/>
          <w:b w:val="1"/>
          <w:color w:val="000000"/>
          <w:u w:val="single"/>
          <w:rtl w:val="0"/>
        </w:rPr>
        <w:t xml:space="preserve">NOTA DE PRENSA </w:t>
      </w:r>
      <w:r w:rsidDel="00000000" w:rsidR="00000000" w:rsidRPr="00000000">
        <w:rPr>
          <w:rtl w:val="0"/>
        </w:rPr>
      </w:r>
    </w:p>
    <w:p w:rsidR="00000000" w:rsidDel="00000000" w:rsidP="00000000" w:rsidRDefault="00000000" w:rsidRPr="00000000" w14:paraId="00000002">
      <w:pPr>
        <w:shd w:fill="ffffff" w:val="clear"/>
        <w:jc w:val="center"/>
        <w:rPr>
          <w:rFonts w:ascii="Arial" w:cs="Arial" w:eastAsia="Arial" w:hAnsi="Arial"/>
          <w:b w:val="1"/>
          <w:sz w:val="10"/>
          <w:szCs w:val="10"/>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ind w:left="-142" w:right="-143"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Muestras tomadas en Centros de Producción Acuícola de Canta descartan presencia alta de metales pesados en cultivos de trucha</w:t>
      </w:r>
    </w:p>
    <w:p w:rsidR="00000000" w:rsidDel="00000000" w:rsidP="00000000" w:rsidRDefault="00000000" w:rsidRPr="00000000" w14:paraId="00000004">
      <w:pPr>
        <w:shd w:fill="ffffff" w:val="clear"/>
        <w:spacing w:line="259" w:lineRule="auto"/>
        <w:ind w:left="-142" w:right="-143"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Sanipes ejecutó plan preventivo con sus equipos de fiscalización para garantizar la sanidad e inocuidad alimentaria</w:t>
      </w:r>
    </w:p>
    <w:p w:rsidR="00000000" w:rsidDel="00000000" w:rsidP="00000000" w:rsidRDefault="00000000" w:rsidRPr="00000000" w14:paraId="00000005">
      <w:pPr>
        <w:ind w:left="-142" w:right="-143"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ind w:left="-142" w:right="-143"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Ministerio de la Producción, a través del Organismo Nacional de Sanidad Pesquera (Sanipes) informa que los resultados de las muestras tomadas en los cultivos de trucha colindantes al río Chillón, tras el derrame de zinc ocurrido en la provincia de Canta, no evidencian alta presencia de metales pesados (arsénico, cadmio, mercurio, plomo y zinc).</w:t>
      </w:r>
    </w:p>
    <w:p w:rsidR="00000000" w:rsidDel="00000000" w:rsidP="00000000" w:rsidRDefault="00000000" w:rsidRPr="00000000" w14:paraId="00000007">
      <w:pPr>
        <w:ind w:left="-142" w:right="-143"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ind w:left="-142" w:right="-143"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resultados del laboratorio acreditado (SGS del Perú S.A.C) arrojaron que no presentan niveles fuera de los límites máximos permitidos (LMP) según la normativa sanitaria vigente. No obstante, uno de los Centros de Producción Acuícola (CPA) presentó valores que superan los LMP, por lo que se iniciaron oportunamente las gestiones para mitigar esta situación.</w:t>
      </w:r>
    </w:p>
    <w:p w:rsidR="00000000" w:rsidDel="00000000" w:rsidP="00000000" w:rsidRDefault="00000000" w:rsidRPr="00000000" w14:paraId="00000009">
      <w:pPr>
        <w:ind w:left="-142" w:right="-143"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ind w:left="-142" w:right="-143"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Adicionalmente, se ordenó la disposición final de los recursos afectados (mortalidad) y la inmovilización de los recursos vivos encontrados en los estanques como medida precautoria (suspensión de la comercialización), la misma que el 06 de julio del presente año fue levantada considerando los resultados obtenidos.</w:t>
      </w:r>
    </w:p>
    <w:p w:rsidR="00000000" w:rsidDel="00000000" w:rsidP="00000000" w:rsidRDefault="00000000" w:rsidRPr="00000000" w14:paraId="0000000B">
      <w:pPr>
        <w:ind w:left="-142" w:right="-143"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ind w:left="-142" w:right="-143"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Ello, como parte del seguimiento que realiza Sanipes con sus equipos de fiscalización en los distritos de Huaros, San Buenaventura y Obrajillo, jurisdicciones donde se reportaron ocho CPA afectados por este evento adverso.</w:t>
      </w:r>
    </w:p>
    <w:p w:rsidR="00000000" w:rsidDel="00000000" w:rsidP="00000000" w:rsidRDefault="00000000" w:rsidRPr="00000000" w14:paraId="0000000D">
      <w:pPr>
        <w:ind w:left="-142" w:right="-143"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ind w:left="-142" w:right="-143"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 necesario recordar a la población, que Sanipes como autoridad sanitaria de los productos hidrobiológicos, continuará evaluando el área para garantizar la seguridad sanitaria del país.</w:t>
      </w:r>
    </w:p>
    <w:p w:rsidR="00000000" w:rsidDel="00000000" w:rsidP="00000000" w:rsidRDefault="00000000" w:rsidRPr="00000000" w14:paraId="0000000F">
      <w:pPr>
        <w:ind w:left="-142" w:right="-143"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ind w:left="-142" w:right="-143"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ind w:left="-142" w:right="-143"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Agradecemos su difusión.</w:t>
      </w:r>
    </w:p>
    <w:p w:rsidR="00000000" w:rsidDel="00000000" w:rsidP="00000000" w:rsidRDefault="00000000" w:rsidRPr="00000000" w14:paraId="00000012">
      <w:pPr>
        <w:jc w:val="both"/>
        <w:rPr/>
      </w:pPr>
      <w:r w:rsidDel="00000000" w:rsidR="00000000" w:rsidRPr="00000000">
        <w:rPr>
          <w:rtl w:val="0"/>
        </w:rPr>
      </w:r>
    </w:p>
    <w:sectPr>
      <w:headerReference r:id="rId7" w:type="default"/>
      <w:footerReference r:id="rId8" w:type="default"/>
      <w:pgSz w:h="16838" w:w="11906" w:orient="portrait"/>
      <w:pgMar w:bottom="1418" w:top="1701" w:left="1701" w:right="1701" w:header="680"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3491865</wp:posOffset>
          </wp:positionH>
          <wp:positionV relativeFrom="paragraph">
            <wp:posOffset>-36248</wp:posOffset>
          </wp:positionV>
          <wp:extent cx="1193800" cy="770313"/>
          <wp:effectExtent b="0" l="0" r="0" t="0"/>
          <wp:wrapNone/>
          <wp:docPr id="2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93800" cy="770313"/>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4832985</wp:posOffset>
          </wp:positionH>
          <wp:positionV relativeFrom="paragraph">
            <wp:posOffset>77034</wp:posOffset>
          </wp:positionV>
          <wp:extent cx="1196502" cy="549428"/>
          <wp:effectExtent b="0" l="0" r="0" t="0"/>
          <wp:wrapNone/>
          <wp:docPr id="19"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196502" cy="549428"/>
                  </a:xfrm>
                  <a:prstGeom prst="rect"/>
                  <a:ln/>
                </pic:spPr>
              </pic:pic>
            </a:graphicData>
          </a:graphic>
        </wp:anchor>
      </w:drawing>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252"/>
        <w:tab w:val="right" w:pos="8504"/>
      </w:tabs>
      <w:ind w:left="-851"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Calle Amador Merino Reyna Nº 267 Piso 12 San Isidro - Lima</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252"/>
        <w:tab w:val="right" w:pos="8504"/>
      </w:tabs>
      <w:ind w:left="-851" w:firstLine="0"/>
      <w:rPr>
        <w:rFonts w:ascii="Arial" w:cs="Arial" w:eastAsia="Arial" w:hAnsi="Arial"/>
        <w:sz w:val="16"/>
        <w:szCs w:val="16"/>
      </w:rPr>
    </w:pPr>
    <w:r w:rsidDel="00000000" w:rsidR="00000000" w:rsidRPr="00000000">
      <w:rPr>
        <w:rFonts w:ascii="Arial" w:cs="Arial" w:eastAsia="Arial" w:hAnsi="Arial"/>
        <w:color w:val="000000"/>
        <w:sz w:val="16"/>
        <w:szCs w:val="16"/>
        <w:rtl w:val="0"/>
      </w:rPr>
      <w:t xml:space="preserve">Av. Carretera a Ventanilla km 5.2 - Callao</w:t>
      <w:br w:type="textWrapping"/>
      <w:t xml:space="preserve">www.gob.pe/sanipes</w:t>
    </w:r>
    <w:r w:rsidDel="00000000" w:rsidR="00000000" w:rsidRPr="00000000">
      <w:rPr>
        <w:rtl w:val="0"/>
      </w:rPr>
    </w:r>
  </w:p>
  <w:p w:rsidR="00000000" w:rsidDel="00000000" w:rsidP="00000000" w:rsidRDefault="00000000" w:rsidRPr="00000000" w14:paraId="0000001E">
    <w:pPr>
      <w:tabs>
        <w:tab w:val="left" w:pos="-284"/>
      </w:tabs>
      <w:spacing w:line="360" w:lineRule="auto"/>
      <w:ind w:right="-568" w:hanging="426"/>
      <w:jc w:val="both"/>
      <w:rPr>
        <w:b w:val="1"/>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-600074</wp:posOffset>
          </wp:positionH>
          <wp:positionV relativeFrom="paragraph">
            <wp:posOffset>11430</wp:posOffset>
          </wp:positionV>
          <wp:extent cx="2171700" cy="441960"/>
          <wp:effectExtent b="0" l="0" r="0" t="0"/>
          <wp:wrapNone/>
          <wp:docPr descr="LOGO PRODUCE 2016 - PARA FONDO A COLOR" id="20" name="image4.png"/>
          <a:graphic>
            <a:graphicData uri="http://schemas.openxmlformats.org/drawingml/2006/picture">
              <pic:pic>
                <pic:nvPicPr>
                  <pic:cNvPr descr="LOGO PRODUCE 2016 - PARA FONDO A COLOR" id="0" name="image4.png"/>
                  <pic:cNvPicPr preferRelativeResize="0"/>
                </pic:nvPicPr>
                <pic:blipFill>
                  <a:blip r:embed="rId1"/>
                  <a:srcRect b="0" l="0" r="0" t="0"/>
                  <a:stretch>
                    <a:fillRect/>
                  </a:stretch>
                </pic:blipFill>
                <pic:spPr>
                  <a:xfrm>
                    <a:off x="0" y="0"/>
                    <a:ext cx="2171700" cy="4419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4200525</wp:posOffset>
          </wp:positionH>
          <wp:positionV relativeFrom="paragraph">
            <wp:posOffset>30480</wp:posOffset>
          </wp:positionV>
          <wp:extent cx="1592580" cy="527050"/>
          <wp:effectExtent b="0" l="0" r="0" t="0"/>
          <wp:wrapNone/>
          <wp:docPr descr="logo_sanipes-horizontal-01" id="22" name="image3.png"/>
          <a:graphic>
            <a:graphicData uri="http://schemas.openxmlformats.org/drawingml/2006/picture">
              <pic:pic>
                <pic:nvPicPr>
                  <pic:cNvPr descr="logo_sanipes-horizontal-01" id="0" name="image3.png"/>
                  <pic:cNvPicPr preferRelativeResize="0"/>
                </pic:nvPicPr>
                <pic:blipFill>
                  <a:blip r:embed="rId2"/>
                  <a:srcRect b="0" l="0" r="0" t="0"/>
                  <a:stretch>
                    <a:fillRect/>
                  </a:stretch>
                </pic:blipFill>
                <pic:spPr>
                  <a:xfrm>
                    <a:off x="0" y="0"/>
                    <a:ext cx="1592580" cy="527050"/>
                  </a:xfrm>
                  <a:prstGeom prst="rect"/>
                  <a:ln/>
                </pic:spPr>
              </pic:pic>
            </a:graphicData>
          </a:graphic>
        </wp:anchor>
      </w:drawing>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“Decenio de la Igualdad de Oportunidades para Mujeres y Hombres”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“Año del Fortalecimiento de la Soberanía Nacional”</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“Año del Bicentenario del Congreso de la República del Perú”</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202124"/>
        <w:sz w:val="16"/>
        <w:szCs w:val="16"/>
        <w:highlight w:val="white"/>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A5BF6"/>
    <w:pPr>
      <w:spacing w:after="0" w:line="240" w:lineRule="auto"/>
    </w:pPr>
    <w:rPr>
      <w:rFonts w:ascii="Times New Roman" w:cs="Times New Roman" w:eastAsia="Times New Roman" w:hAnsi="Times New Roman"/>
      <w:sz w:val="24"/>
      <w:szCs w:val="24"/>
      <w:lang w:eastAsia="es-ES"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BE1572"/>
    <w:pPr>
      <w:tabs>
        <w:tab w:val="center" w:pos="4252"/>
        <w:tab w:val="right" w:pos="8504"/>
      </w:tabs>
    </w:pPr>
  </w:style>
  <w:style w:type="character" w:styleId="EncabezadoCar" w:customStyle="1">
    <w:name w:val="Encabezado Car"/>
    <w:basedOn w:val="Fuentedeprrafopredeter"/>
    <w:link w:val="Encabezado"/>
    <w:uiPriority w:val="99"/>
    <w:rsid w:val="00BE1572"/>
  </w:style>
  <w:style w:type="paragraph" w:styleId="Piedepgina">
    <w:name w:val="footer"/>
    <w:basedOn w:val="Normal"/>
    <w:link w:val="PiedepginaCar"/>
    <w:uiPriority w:val="99"/>
    <w:unhideWhenUsed w:val="1"/>
    <w:rsid w:val="00BE1572"/>
    <w:pPr>
      <w:tabs>
        <w:tab w:val="center" w:pos="4252"/>
        <w:tab w:val="right" w:pos="8504"/>
      </w:tabs>
    </w:pPr>
  </w:style>
  <w:style w:type="character" w:styleId="PiedepginaCar" w:customStyle="1">
    <w:name w:val="Pie de página Car"/>
    <w:basedOn w:val="Fuentedeprrafopredeter"/>
    <w:link w:val="Piedepgina"/>
    <w:uiPriority w:val="99"/>
    <w:rsid w:val="00BE1572"/>
  </w:style>
  <w:style w:type="table" w:styleId="Tablaconcuadrcula">
    <w:name w:val="Table Grid"/>
    <w:basedOn w:val="Tablanormal"/>
    <w:uiPriority w:val="39"/>
    <w:rsid w:val="00BE157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C436F2"/>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C436F2"/>
    <w:rPr>
      <w:rFonts w:ascii="Segoe UI" w:cs="Segoe UI" w:hAnsi="Segoe UI"/>
      <w:sz w:val="18"/>
      <w:szCs w:val="18"/>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Bullet 1,titulo"/>
    <w:basedOn w:val="Normal"/>
    <w:link w:val="PrrafodelistaCar"/>
    <w:uiPriority w:val="34"/>
    <w:qFormat w:val="1"/>
    <w:rsid w:val="001D77CA"/>
    <w:pPr>
      <w:ind w:left="720"/>
      <w:contextualSpacing w:val="1"/>
    </w:pPr>
  </w:style>
  <w:style w:type="paragraph" w:styleId="Sinespaciado">
    <w:name w:val="No Spacing"/>
    <w:link w:val="SinespaciadoCar"/>
    <w:uiPriority w:val="1"/>
    <w:qFormat w:val="1"/>
    <w:rsid w:val="006A5BF6"/>
    <w:pPr>
      <w:spacing w:after="0" w:line="240" w:lineRule="auto"/>
    </w:pPr>
    <w:rPr>
      <w:rFonts w:ascii="Times New Roman" w:cs="Times New Roman" w:eastAsia="Times New Roman" w:hAnsi="Times New Roman"/>
      <w:sz w:val="24"/>
      <w:szCs w:val="24"/>
      <w:lang w:eastAsia="es-ES" w:val="es-ES"/>
    </w:rPr>
  </w:style>
  <w:style w:type="character" w:styleId="PrrafodelistaCar" w:customStyle="1">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val="1"/>
    <w:rsid w:val="006A5BF6"/>
  </w:style>
  <w:style w:type="character" w:styleId="SinespaciadoCar" w:customStyle="1">
    <w:name w:val="Sin espaciado Car"/>
    <w:basedOn w:val="Fuentedeprrafopredeter"/>
    <w:link w:val="Sinespaciado"/>
    <w:uiPriority w:val="1"/>
    <w:locked w:val="1"/>
    <w:rsid w:val="006A5BF6"/>
    <w:rPr>
      <w:rFonts w:ascii="Times New Roman" w:cs="Times New Roman" w:eastAsia="Times New Roman" w:hAnsi="Times New Roman"/>
      <w:sz w:val="24"/>
      <w:szCs w:val="24"/>
      <w:lang w:eastAsia="es-ES" w:val="es-ES"/>
    </w:rPr>
  </w:style>
  <w:style w:type="paragraph" w:styleId="Subttulo">
    <w:name w:val="Subtitle"/>
    <w:basedOn w:val="Normal"/>
    <w:next w:val="Normal"/>
    <w:link w:val="SubttuloCar"/>
    <w:uiPriority w:val="11"/>
    <w:qFormat w:val="1"/>
    <w:rsid w:val="00EB53D9"/>
    <w:pPr>
      <w:numPr>
        <w:ilvl w:val="1"/>
      </w:numPr>
      <w:spacing w:after="160"/>
    </w:pPr>
    <w:rPr>
      <w:rFonts w:asciiTheme="minorHAnsi" w:cstheme="minorBidi" w:eastAsiaTheme="minorEastAsia" w:hAnsiTheme="minorHAnsi"/>
      <w:color w:val="5a5a5a" w:themeColor="text1" w:themeTint="0000A5"/>
      <w:spacing w:val="15"/>
      <w:sz w:val="22"/>
      <w:szCs w:val="22"/>
    </w:rPr>
  </w:style>
  <w:style w:type="character" w:styleId="SubttuloCar" w:customStyle="1">
    <w:name w:val="Subtítulo Car"/>
    <w:basedOn w:val="Fuentedeprrafopredeter"/>
    <w:link w:val="Subttulo"/>
    <w:uiPriority w:val="11"/>
    <w:rsid w:val="00EB53D9"/>
    <w:rPr>
      <w:rFonts w:eastAsiaTheme="minorEastAsia"/>
      <w:color w:val="5a5a5a" w:themeColor="text1" w:themeTint="0000A5"/>
      <w:spacing w:val="15"/>
      <w:lang w:eastAsia="es-ES" w:val="es-ES"/>
    </w:rPr>
  </w:style>
  <w:style w:type="character" w:styleId="nfasissutil">
    <w:name w:val="Subtle Emphasis"/>
    <w:basedOn w:val="Fuentedeprrafopredeter"/>
    <w:uiPriority w:val="19"/>
    <w:qFormat w:val="1"/>
    <w:rsid w:val="00EB53D9"/>
    <w:rPr>
      <w:i w:val="1"/>
      <w:iCs w:val="1"/>
      <w:color w:val="404040" w:themeColor="text1" w:themeTint="0000BF"/>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X700WiCccK/6ttqUqBe+yz7EYA==">AMUW2mXKY1AMi6vekNCCxJK6+Ro5heGZBvL/zj3vPm2G1d6KjqonxPR6srvahm52LK08KA7YOtKS6Q3h+pkkklNc+8wDZ2KrPe9TT37sS4qvXbgJwXa5aQE=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2022-05-20T17:23:00Z</dcterms:created>
  <dc:creator>Jose Miguel Valdivia Cumpa</dc:creator>
</cp:coreProperties>
</file>