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C4" w:rsidRDefault="006251C4" w:rsidP="006251C4">
      <w:pPr>
        <w:rPr>
          <w:rFonts w:ascii="Arial" w:hAnsi="Arial" w:cs="Arial"/>
          <w:b/>
          <w:color w:val="000000" w:themeColor="text1"/>
          <w:u w:val="single"/>
          <w:lang w:val="es-PE"/>
        </w:rPr>
      </w:pPr>
    </w:p>
    <w:p w:rsidR="000C1D38" w:rsidRPr="006251C4" w:rsidRDefault="000C1D38" w:rsidP="006251C4">
      <w:pPr>
        <w:rPr>
          <w:rFonts w:ascii="Arial" w:hAnsi="Arial" w:cs="Arial"/>
          <w:b/>
          <w:color w:val="000000" w:themeColor="text1"/>
          <w:u w:val="single"/>
          <w:lang w:val="es-PE"/>
        </w:rPr>
      </w:pPr>
      <w:r w:rsidRPr="006251C4">
        <w:rPr>
          <w:rFonts w:ascii="Arial" w:hAnsi="Arial" w:cs="Arial"/>
          <w:b/>
          <w:color w:val="000000" w:themeColor="text1"/>
          <w:u w:val="single"/>
          <w:lang w:val="es-PE"/>
        </w:rPr>
        <w:t>NOTA DE PRENSA</w:t>
      </w:r>
    </w:p>
    <w:p w:rsidR="000C1D38" w:rsidRPr="006251C4" w:rsidRDefault="000C1D38" w:rsidP="006251C4">
      <w:pPr>
        <w:rPr>
          <w:rFonts w:ascii="Arial" w:hAnsi="Arial" w:cs="Arial"/>
          <w:color w:val="000000" w:themeColor="text1"/>
          <w:u w:val="single"/>
          <w:lang w:val="es-PE"/>
        </w:rPr>
      </w:pPr>
    </w:p>
    <w:p w:rsidR="006251C4" w:rsidRPr="006251C4" w:rsidRDefault="006251C4" w:rsidP="006251C4">
      <w:pPr>
        <w:pStyle w:val="xmsonormal"/>
        <w:shd w:val="clear" w:color="auto" w:fill="FFFFFF"/>
        <w:jc w:val="center"/>
        <w:rPr>
          <w:rFonts w:ascii="Arial" w:hAnsi="Arial" w:cs="Arial"/>
          <w:b/>
          <w:color w:val="000000"/>
          <w:sz w:val="32"/>
          <w:szCs w:val="32"/>
          <w:bdr w:val="none" w:sz="0" w:space="0" w:color="auto" w:frame="1"/>
          <w:lang w:val="es-ES_tradnl"/>
        </w:rPr>
      </w:pPr>
      <w:bookmarkStart w:id="0" w:name="_GoBack"/>
      <w:r w:rsidRPr="006251C4">
        <w:rPr>
          <w:rFonts w:ascii="Arial" w:hAnsi="Arial" w:cs="Arial"/>
          <w:b/>
          <w:color w:val="000000"/>
          <w:sz w:val="32"/>
          <w:szCs w:val="32"/>
          <w:bdr w:val="none" w:sz="0" w:space="0" w:color="auto" w:frame="1"/>
          <w:lang w:val="es-ES_tradnl"/>
        </w:rPr>
        <w:t>Criaderos de trucha retoman su producción en zona afectada por derrame de zinc en Canta</w:t>
      </w:r>
    </w:p>
    <w:bookmarkEnd w:id="0"/>
    <w:p w:rsidR="006251C4" w:rsidRPr="006251C4" w:rsidRDefault="006251C4" w:rsidP="006251C4">
      <w:pPr>
        <w:pStyle w:val="xmsonormal"/>
        <w:shd w:val="clear" w:color="auto" w:fill="FFFFFF"/>
        <w:rPr>
          <w:rFonts w:ascii="Arial" w:hAnsi="Arial" w:cs="Arial"/>
          <w:i/>
          <w:color w:val="000000"/>
          <w:bdr w:val="none" w:sz="0" w:space="0" w:color="auto" w:frame="1"/>
          <w:lang w:val="es-ES_tradnl"/>
        </w:rPr>
      </w:pPr>
      <w:r>
        <w:rPr>
          <w:rFonts w:ascii="Arial" w:hAnsi="Arial" w:cs="Arial"/>
          <w:i/>
          <w:color w:val="000000"/>
          <w:bdr w:val="none" w:sz="0" w:space="0" w:color="auto" w:frame="1"/>
          <w:lang w:val="es-ES_tradnl"/>
        </w:rPr>
        <w:t xml:space="preserve">Pobladores no registran </w:t>
      </w:r>
      <w:r w:rsidRPr="006251C4">
        <w:rPr>
          <w:rFonts w:ascii="Arial" w:hAnsi="Arial" w:cs="Arial"/>
          <w:i/>
          <w:color w:val="000000"/>
          <w:bdr w:val="none" w:sz="0" w:space="0" w:color="auto" w:frame="1"/>
          <w:lang w:val="es-ES_tradnl"/>
        </w:rPr>
        <w:t>problemas vinculados a la exposición aguda al zinc</w:t>
      </w:r>
    </w:p>
    <w:p w:rsidR="006251C4" w:rsidRPr="006251C4" w:rsidRDefault="006251C4" w:rsidP="006251C4">
      <w:pPr>
        <w:pStyle w:val="xmsonormal"/>
        <w:shd w:val="clear" w:color="auto" w:fill="FFFFFF"/>
        <w:rPr>
          <w:rFonts w:ascii="Arial" w:hAnsi="Arial" w:cs="Arial"/>
          <w:color w:val="000000"/>
          <w:bdr w:val="none" w:sz="0" w:space="0" w:color="auto" w:frame="1"/>
          <w:lang w:val="es-ES_tradnl"/>
        </w:rPr>
      </w:pPr>
      <w:r w:rsidRPr="006251C4">
        <w:rPr>
          <w:rFonts w:ascii="Arial" w:hAnsi="Arial" w:cs="Arial"/>
          <w:color w:val="000000"/>
          <w:bdr w:val="none" w:sz="0" w:space="0" w:color="auto" w:frame="1"/>
          <w:lang w:val="es-ES_tradnl"/>
        </w:rPr>
        <w:t>Siete de los ocho centros de producción acuícola de la zona donde se produjo el derrame de concentrado de zinc en las aguas del río Chillón, en Canta, ya han recuperado sus condiciones para volver a producir y se encuentran plenamente operativos.</w:t>
      </w:r>
    </w:p>
    <w:p w:rsidR="006251C4" w:rsidRPr="006251C4" w:rsidRDefault="006251C4" w:rsidP="006251C4">
      <w:pPr>
        <w:pStyle w:val="xmsonormal"/>
        <w:shd w:val="clear" w:color="auto" w:fill="FFFFFF"/>
        <w:rPr>
          <w:rFonts w:ascii="Arial" w:hAnsi="Arial" w:cs="Arial"/>
          <w:color w:val="000000"/>
          <w:bdr w:val="none" w:sz="0" w:space="0" w:color="auto" w:frame="1"/>
          <w:lang w:val="es-ES_tradnl"/>
        </w:rPr>
      </w:pPr>
      <w:r w:rsidRPr="006251C4">
        <w:rPr>
          <w:rFonts w:ascii="Arial" w:hAnsi="Arial" w:cs="Arial"/>
          <w:color w:val="000000"/>
          <w:bdr w:val="none" w:sz="0" w:space="0" w:color="auto" w:frame="1"/>
          <w:lang w:val="es-ES_tradnl"/>
        </w:rPr>
        <w:t xml:space="preserve">Así lo confirmó el análisis de las muestras de truchas recolectadas en los centros de producción acuícola afectados por el zinc. Con estos resultados, solo uno de ellos obtuvo valores de metales pesados (cadmio y plomo) fuera de los límites máximos permitidos para su consumo e inocuidad. </w:t>
      </w:r>
    </w:p>
    <w:p w:rsidR="006251C4" w:rsidRPr="006251C4" w:rsidRDefault="006251C4" w:rsidP="006251C4">
      <w:pPr>
        <w:pStyle w:val="xmsonormal"/>
        <w:shd w:val="clear" w:color="auto" w:fill="FFFFFF"/>
        <w:rPr>
          <w:rFonts w:ascii="Arial" w:hAnsi="Arial" w:cs="Arial"/>
          <w:color w:val="000000"/>
          <w:bdr w:val="none" w:sz="0" w:space="0" w:color="auto" w:frame="1"/>
          <w:lang w:val="es-ES_tradnl"/>
        </w:rPr>
      </w:pPr>
      <w:r w:rsidRPr="006251C4">
        <w:rPr>
          <w:rFonts w:ascii="Arial" w:hAnsi="Arial" w:cs="Arial"/>
          <w:color w:val="000000"/>
          <w:bdr w:val="none" w:sz="0" w:space="0" w:color="auto" w:frame="1"/>
          <w:lang w:val="es-ES_tradnl"/>
        </w:rPr>
        <w:t>No obstante, este centro permanece bajo monitoreo y vigilancia sanitaria hasta asegurar, mediante pruebas de laboratorio, que sus próximos cultivos acuícolas (truchas) cumplan con los estándares permitidos.</w:t>
      </w:r>
    </w:p>
    <w:p w:rsidR="006251C4" w:rsidRPr="006251C4" w:rsidRDefault="006251C4" w:rsidP="006251C4">
      <w:pPr>
        <w:pStyle w:val="xmsonormal"/>
        <w:shd w:val="clear" w:color="auto" w:fill="FFFFFF"/>
        <w:rPr>
          <w:rFonts w:ascii="Arial" w:hAnsi="Arial" w:cs="Arial"/>
          <w:color w:val="000000"/>
          <w:bdr w:val="none" w:sz="0" w:space="0" w:color="auto" w:frame="1"/>
          <w:lang w:val="es-ES_tradnl"/>
        </w:rPr>
      </w:pPr>
      <w:r w:rsidRPr="006251C4">
        <w:rPr>
          <w:rFonts w:ascii="Arial" w:hAnsi="Arial" w:cs="Arial"/>
          <w:color w:val="000000"/>
          <w:bdr w:val="none" w:sz="0" w:space="0" w:color="auto" w:frame="1"/>
          <w:lang w:val="es-ES_tradnl"/>
        </w:rPr>
        <w:t xml:space="preserve">Desde que se produjo el derrame, el pasado 13 de junio, cinco instituciones públicas mantienen activas sus labores de monitoreo en la zona para asegurar que se continúe con la atención y remediación de los daños ambientales ocasionados. </w:t>
      </w:r>
    </w:p>
    <w:p w:rsidR="006251C4" w:rsidRPr="006251C4" w:rsidRDefault="006251C4" w:rsidP="006251C4">
      <w:pPr>
        <w:pStyle w:val="xmsonormal"/>
        <w:shd w:val="clear" w:color="auto" w:fill="FFFFFF"/>
        <w:rPr>
          <w:rFonts w:ascii="Arial" w:hAnsi="Arial" w:cs="Arial"/>
          <w:color w:val="000000"/>
          <w:bdr w:val="none" w:sz="0" w:space="0" w:color="auto" w:frame="1"/>
          <w:lang w:val="es-ES_tradnl"/>
        </w:rPr>
      </w:pPr>
      <w:r w:rsidRPr="006251C4">
        <w:rPr>
          <w:rFonts w:ascii="Arial" w:hAnsi="Arial" w:cs="Arial"/>
          <w:color w:val="000000"/>
          <w:bdr w:val="none" w:sz="0" w:space="0" w:color="auto" w:frame="1"/>
          <w:lang w:val="es-ES_tradnl"/>
        </w:rPr>
        <w:t>El trabajo de análisis ha sido realizado por los equipos de fiscalización del Organismo Nacional de Sanidad Pesquera SANIPES del Ministerio de la Producción, del Organismo de Evaluación y Fiscalización Ambiental OEFA, de la Autoridad Nacional del Agua ANA, del Ministerio de Salud y del Ministerio de Transportes y Comunicaciones.</w:t>
      </w:r>
    </w:p>
    <w:p w:rsidR="006251C4" w:rsidRPr="006251C4" w:rsidRDefault="006251C4" w:rsidP="006251C4">
      <w:pPr>
        <w:pStyle w:val="xmsonormal"/>
        <w:shd w:val="clear" w:color="auto" w:fill="FFFFFF"/>
        <w:rPr>
          <w:rFonts w:ascii="Arial" w:hAnsi="Arial" w:cs="Arial"/>
          <w:b/>
          <w:color w:val="000000"/>
          <w:bdr w:val="none" w:sz="0" w:space="0" w:color="auto" w:frame="1"/>
          <w:lang w:val="es-ES_tradnl"/>
        </w:rPr>
      </w:pPr>
      <w:r w:rsidRPr="006251C4">
        <w:rPr>
          <w:rFonts w:ascii="Arial" w:hAnsi="Arial" w:cs="Arial"/>
          <w:b/>
          <w:color w:val="000000"/>
          <w:bdr w:val="none" w:sz="0" w:space="0" w:color="auto" w:frame="1"/>
          <w:lang w:val="es-ES_tradnl"/>
        </w:rPr>
        <w:t>Salud y sanciones</w:t>
      </w:r>
    </w:p>
    <w:p w:rsidR="006251C4" w:rsidRPr="006251C4" w:rsidRDefault="006251C4" w:rsidP="006251C4">
      <w:pPr>
        <w:pStyle w:val="xmsonormal"/>
        <w:shd w:val="clear" w:color="auto" w:fill="FFFFFF"/>
        <w:rPr>
          <w:rFonts w:ascii="Arial" w:hAnsi="Arial" w:cs="Arial"/>
          <w:color w:val="000000"/>
          <w:bdr w:val="none" w:sz="0" w:space="0" w:color="auto" w:frame="1"/>
          <w:lang w:val="es-ES_tradnl"/>
        </w:rPr>
      </w:pPr>
      <w:r w:rsidRPr="006251C4">
        <w:rPr>
          <w:rFonts w:ascii="Arial" w:hAnsi="Arial" w:cs="Arial"/>
          <w:color w:val="000000"/>
          <w:bdr w:val="none" w:sz="0" w:space="0" w:color="auto" w:frame="1"/>
          <w:lang w:val="es-ES_tradnl"/>
        </w:rPr>
        <w:t>En el ámbito de la salud, hasta el momento no se ha registrado en los centros de salud personas con problemas vinculados con la exposición aguda al zinc. Por lo pronto, OEFA ha identificado que la calidad de las aguas superficiales en la zona se encuentra dentro de los estándares de calidad ambiental definidos para agua.</w:t>
      </w:r>
    </w:p>
    <w:p w:rsidR="006251C4" w:rsidRDefault="006251C4" w:rsidP="006251C4">
      <w:pPr>
        <w:pStyle w:val="xmsonormal"/>
        <w:shd w:val="clear" w:color="auto" w:fill="FFFFFF"/>
        <w:spacing w:before="0" w:beforeAutospacing="0" w:after="0" w:afterAutospacing="0"/>
        <w:rPr>
          <w:rFonts w:ascii="Arial" w:hAnsi="Arial" w:cs="Arial"/>
          <w:color w:val="000000"/>
          <w:bdr w:val="none" w:sz="0" w:space="0" w:color="auto" w:frame="1"/>
          <w:lang w:val="es-ES_tradnl"/>
        </w:rPr>
      </w:pPr>
      <w:r w:rsidRPr="006251C4">
        <w:rPr>
          <w:rFonts w:ascii="Arial" w:hAnsi="Arial" w:cs="Arial"/>
          <w:color w:val="000000"/>
          <w:bdr w:val="none" w:sz="0" w:space="0" w:color="auto" w:frame="1"/>
          <w:lang w:val="es-ES_tradnl"/>
        </w:rPr>
        <w:t xml:space="preserve">En el ámbito de las sanciones, se ha interpuesto dos medidas contra la empresa </w:t>
      </w:r>
      <w:proofErr w:type="spellStart"/>
      <w:r w:rsidRPr="006251C4">
        <w:rPr>
          <w:rFonts w:ascii="Arial" w:hAnsi="Arial" w:cs="Arial"/>
          <w:color w:val="000000"/>
          <w:bdr w:val="none" w:sz="0" w:space="0" w:color="auto" w:frame="1"/>
          <w:lang w:val="es-ES_tradnl"/>
        </w:rPr>
        <w:t>Wari</w:t>
      </w:r>
      <w:proofErr w:type="spellEnd"/>
      <w:r w:rsidRPr="006251C4">
        <w:rPr>
          <w:rFonts w:ascii="Arial" w:hAnsi="Arial" w:cs="Arial"/>
          <w:color w:val="000000"/>
          <w:bdr w:val="none" w:sz="0" w:space="0" w:color="auto" w:frame="1"/>
          <w:lang w:val="es-ES_tradnl"/>
        </w:rPr>
        <w:t xml:space="preserve"> </w:t>
      </w:r>
      <w:proofErr w:type="spellStart"/>
      <w:r w:rsidRPr="006251C4">
        <w:rPr>
          <w:rFonts w:ascii="Arial" w:hAnsi="Arial" w:cs="Arial"/>
          <w:color w:val="000000"/>
          <w:bdr w:val="none" w:sz="0" w:space="0" w:color="auto" w:frame="1"/>
          <w:lang w:val="es-ES_tradnl"/>
        </w:rPr>
        <w:t>Service</w:t>
      </w:r>
      <w:proofErr w:type="spellEnd"/>
      <w:r w:rsidRPr="006251C4">
        <w:rPr>
          <w:rFonts w:ascii="Arial" w:hAnsi="Arial" w:cs="Arial"/>
          <w:color w:val="000000"/>
          <w:bdr w:val="none" w:sz="0" w:space="0" w:color="auto" w:frame="1"/>
          <w:lang w:val="es-ES_tradnl"/>
        </w:rPr>
        <w:t xml:space="preserve"> S.A.C., que </w:t>
      </w:r>
      <w:r>
        <w:rPr>
          <w:rFonts w:ascii="Arial" w:hAnsi="Arial" w:cs="Arial"/>
          <w:color w:val="000000"/>
          <w:bdr w:val="none" w:sz="0" w:space="0" w:color="auto" w:frame="1"/>
          <w:lang w:val="es-ES_tradnl"/>
        </w:rPr>
        <w:t>trasladaba el zinc: la primera,</w:t>
      </w:r>
      <w:r w:rsidRPr="006251C4">
        <w:rPr>
          <w:rFonts w:ascii="Arial" w:hAnsi="Arial" w:cs="Arial"/>
          <w:color w:val="000000"/>
          <w:bdr w:val="none" w:sz="0" w:space="0" w:color="auto" w:frame="1"/>
          <w:lang w:val="es-ES_tradnl"/>
        </w:rPr>
        <w:t xml:space="preserve"> ordena realizar </w:t>
      </w:r>
      <w:proofErr w:type="spellStart"/>
      <w:r w:rsidRPr="006251C4">
        <w:rPr>
          <w:rFonts w:ascii="Arial" w:hAnsi="Arial" w:cs="Arial"/>
          <w:color w:val="000000"/>
          <w:bdr w:val="none" w:sz="0" w:space="0" w:color="auto" w:frame="1"/>
          <w:lang w:val="es-ES_tradnl"/>
        </w:rPr>
        <w:t>monitoreos</w:t>
      </w:r>
      <w:proofErr w:type="spellEnd"/>
      <w:r w:rsidRPr="006251C4">
        <w:rPr>
          <w:rFonts w:ascii="Arial" w:hAnsi="Arial" w:cs="Arial"/>
          <w:color w:val="000000"/>
          <w:bdr w:val="none" w:sz="0" w:space="0" w:color="auto" w:frame="1"/>
          <w:lang w:val="es-ES_tradnl"/>
        </w:rPr>
        <w:t xml:space="preserve"> a la calidad de agua, especies de fauna y la calidad del suelo.</w:t>
      </w:r>
      <w:r>
        <w:rPr>
          <w:rFonts w:ascii="Arial" w:hAnsi="Arial" w:cs="Arial"/>
          <w:color w:val="000000"/>
          <w:bdr w:val="none" w:sz="0" w:space="0" w:color="auto" w:frame="1"/>
          <w:lang w:val="es-ES_tradnl"/>
        </w:rPr>
        <w:t xml:space="preserve"> </w:t>
      </w:r>
      <w:r w:rsidRPr="006251C4">
        <w:rPr>
          <w:rFonts w:ascii="Arial" w:hAnsi="Arial" w:cs="Arial"/>
          <w:color w:val="000000"/>
          <w:bdr w:val="none" w:sz="0" w:space="0" w:color="auto" w:frame="1"/>
          <w:lang w:val="es-ES_tradnl"/>
        </w:rPr>
        <w:t>La segunda que retire el zinc y recupere la afectación del área afectada; y suspenda su tránsito por las rutas indicadas hasta que recupere el lugar.</w:t>
      </w:r>
      <w:r>
        <w:rPr>
          <w:rFonts w:ascii="Arial" w:hAnsi="Arial" w:cs="Arial"/>
          <w:color w:val="000000"/>
          <w:bdr w:val="none" w:sz="0" w:space="0" w:color="auto" w:frame="1"/>
          <w:lang w:val="es-ES_tradnl"/>
        </w:rPr>
        <w:t xml:space="preserve">      </w:t>
      </w:r>
    </w:p>
    <w:p w:rsidR="006251C4" w:rsidRDefault="006251C4" w:rsidP="006251C4">
      <w:pPr>
        <w:pStyle w:val="xmsonormal"/>
        <w:shd w:val="clear" w:color="auto" w:fill="FFFFFF"/>
        <w:spacing w:before="0" w:beforeAutospacing="0" w:after="0" w:afterAutospacing="0"/>
        <w:rPr>
          <w:rFonts w:ascii="Arial" w:hAnsi="Arial" w:cs="Arial"/>
          <w:color w:val="000000"/>
          <w:bdr w:val="none" w:sz="0" w:space="0" w:color="auto" w:frame="1"/>
          <w:lang w:val="es-ES_tradnl"/>
        </w:rPr>
      </w:pPr>
    </w:p>
    <w:p w:rsidR="005B4110" w:rsidRPr="00FC26E7" w:rsidRDefault="000C1D38" w:rsidP="006251C4">
      <w:pPr>
        <w:pStyle w:val="xmsonormal"/>
        <w:shd w:val="clear" w:color="auto" w:fill="FFFFFF"/>
        <w:spacing w:before="0" w:beforeAutospacing="0" w:after="0" w:afterAutospacing="0"/>
        <w:rPr>
          <w:rFonts w:ascii="Arial" w:hAnsi="Arial" w:cs="Arial"/>
          <w:color w:val="000000"/>
        </w:rPr>
      </w:pPr>
      <w:r w:rsidRPr="000C1D38">
        <w:rPr>
          <w:rFonts w:ascii="Arial" w:hAnsi="Arial" w:cs="Arial"/>
          <w:b/>
          <w:color w:val="000000"/>
          <w:bdr w:val="none" w:sz="0" w:space="0" w:color="auto" w:frame="1"/>
          <w:lang w:val="es-ES_tradnl"/>
        </w:rPr>
        <w:t>Lima, julio de 2022</w:t>
      </w:r>
      <w:r w:rsidR="005B4110" w:rsidRPr="00FC26E7">
        <w:rPr>
          <w:rFonts w:ascii="Arial" w:hAnsi="Arial" w:cs="Arial"/>
          <w:color w:val="000000"/>
          <w:bdr w:val="none" w:sz="0" w:space="0" w:color="auto" w:frame="1"/>
          <w:lang w:val="es-ES_tradnl"/>
        </w:rPr>
        <w:t> </w:t>
      </w:r>
    </w:p>
    <w:p w:rsidR="005B4110" w:rsidRPr="00FC26E7" w:rsidRDefault="005B4110" w:rsidP="00FC26E7">
      <w:pPr>
        <w:jc w:val="both"/>
        <w:rPr>
          <w:rFonts w:ascii="Arial" w:eastAsia="Times New Roman" w:hAnsi="Arial" w:cs="Arial"/>
          <w:color w:val="000000" w:themeColor="text1"/>
          <w:shd w:val="clear" w:color="auto" w:fill="FDFDFD"/>
          <w:lang w:val="es-PE" w:eastAsia="es-ES_tradnl"/>
        </w:rPr>
      </w:pPr>
    </w:p>
    <w:p w:rsidR="00E71135" w:rsidRPr="00FC26E7" w:rsidRDefault="00E71135" w:rsidP="00FC26E7">
      <w:pPr>
        <w:jc w:val="both"/>
        <w:rPr>
          <w:rFonts w:ascii="Arial" w:eastAsia="Times New Roman" w:hAnsi="Arial" w:cs="Arial"/>
          <w:color w:val="000000" w:themeColor="text1"/>
          <w:lang w:val="es-PE" w:eastAsia="es-ES_tradnl"/>
        </w:rPr>
      </w:pPr>
    </w:p>
    <w:p w:rsidR="00A3752E" w:rsidRPr="00FC26E7" w:rsidRDefault="00A3752E" w:rsidP="00FC26E7">
      <w:pPr>
        <w:jc w:val="both"/>
        <w:rPr>
          <w:rFonts w:ascii="Arial" w:eastAsia="Times New Roman" w:hAnsi="Arial" w:cs="Arial"/>
          <w:color w:val="000000"/>
          <w:lang w:val="es-PE" w:eastAsia="es-ES_tradnl"/>
        </w:rPr>
      </w:pPr>
    </w:p>
    <w:p w:rsidR="00E71135" w:rsidRDefault="00E71135" w:rsidP="00EC1057">
      <w:pPr>
        <w:jc w:val="both"/>
        <w:rPr>
          <w:rFonts w:ascii="Arial" w:eastAsia="Times New Roman" w:hAnsi="Arial" w:cs="Arial"/>
          <w:color w:val="000000"/>
          <w:lang w:val="es-PE" w:eastAsia="es-ES_tradnl"/>
        </w:rPr>
      </w:pPr>
    </w:p>
    <w:p w:rsidR="00E71135" w:rsidRDefault="00E71135" w:rsidP="00EC1057">
      <w:pPr>
        <w:jc w:val="both"/>
        <w:rPr>
          <w:rFonts w:ascii="Arial" w:eastAsia="Times New Roman" w:hAnsi="Arial" w:cs="Arial"/>
          <w:color w:val="000000"/>
          <w:lang w:val="es-PE" w:eastAsia="es-ES_tradnl"/>
        </w:rPr>
      </w:pPr>
    </w:p>
    <w:p w:rsidR="00E71135" w:rsidRDefault="00E71135" w:rsidP="00EC1057">
      <w:pPr>
        <w:jc w:val="both"/>
        <w:rPr>
          <w:rFonts w:ascii="Arial" w:eastAsia="Times New Roman" w:hAnsi="Arial" w:cs="Arial"/>
          <w:color w:val="000000"/>
          <w:lang w:val="es-PE" w:eastAsia="es-ES_tradnl"/>
        </w:rPr>
      </w:pPr>
    </w:p>
    <w:p w:rsidR="00781D1A" w:rsidRDefault="005A76D1" w:rsidP="00781D1A">
      <w:pPr>
        <w:pStyle w:val="xmsonormal"/>
        <w:shd w:val="clear" w:color="auto" w:fill="FFFFFF"/>
        <w:spacing w:before="0" w:beforeAutospacing="0" w:after="0" w:afterAutospacing="0"/>
        <w:jc w:val="both"/>
        <w:rPr>
          <w:rFonts w:ascii="Arial" w:hAnsi="Arial" w:cs="Arial"/>
          <w:color w:val="000000"/>
          <w:bdr w:val="none" w:sz="0" w:space="0" w:color="auto" w:frame="1"/>
          <w:lang w:val="es-ES_tradnl"/>
        </w:rPr>
      </w:pPr>
      <w:r>
        <w:rPr>
          <w:rFonts w:ascii="Calibri" w:hAnsi="Calibri" w:cs="Calibri"/>
          <w:b/>
          <w:bCs/>
          <w:color w:val="000000"/>
          <w:u w:val="single"/>
          <w:bdr w:val="none" w:sz="0" w:space="0" w:color="auto" w:frame="1"/>
          <w:lang w:val="es-ES_tradnl"/>
        </w:rPr>
        <w:br/>
      </w:r>
    </w:p>
    <w:p w:rsidR="005A76D1" w:rsidRDefault="005A76D1" w:rsidP="00EC1057">
      <w:pPr>
        <w:jc w:val="both"/>
        <w:rPr>
          <w:rFonts w:ascii="Arial" w:eastAsia="Times New Roman" w:hAnsi="Arial" w:cs="Arial"/>
          <w:color w:val="000000"/>
          <w:lang w:val="es-PE" w:eastAsia="es-ES_tradnl"/>
        </w:rPr>
      </w:pPr>
    </w:p>
    <w:p w:rsidR="00781D1A" w:rsidRDefault="00781D1A" w:rsidP="00EC1057">
      <w:pPr>
        <w:jc w:val="both"/>
        <w:rPr>
          <w:rFonts w:ascii="Arial" w:eastAsia="Times New Roman" w:hAnsi="Arial" w:cs="Arial"/>
          <w:color w:val="000000"/>
          <w:lang w:val="es-PE" w:eastAsia="es-ES_tradnl"/>
        </w:rPr>
      </w:pPr>
    </w:p>
    <w:p w:rsidR="00D55BE3" w:rsidRPr="00D55BE3" w:rsidRDefault="00D55BE3" w:rsidP="00D55BE3">
      <w:pPr>
        <w:rPr>
          <w:lang w:val="es-PE"/>
        </w:rPr>
      </w:pPr>
    </w:p>
    <w:sectPr w:rsidR="00D55BE3" w:rsidRPr="00D55BE3" w:rsidSect="0074495D">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CF" w:rsidRDefault="00772ACF" w:rsidP="000C1D38">
      <w:r>
        <w:separator/>
      </w:r>
    </w:p>
  </w:endnote>
  <w:endnote w:type="continuationSeparator" w:id="0">
    <w:p w:rsidR="00772ACF" w:rsidRDefault="00772ACF" w:rsidP="000C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CF" w:rsidRDefault="00772ACF" w:rsidP="000C1D38">
      <w:r>
        <w:separator/>
      </w:r>
    </w:p>
  </w:footnote>
  <w:footnote w:type="continuationSeparator" w:id="0">
    <w:p w:rsidR="00772ACF" w:rsidRDefault="00772ACF" w:rsidP="000C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38" w:rsidRDefault="000C1D38">
    <w:pPr>
      <w:pStyle w:val="Encabezado"/>
    </w:pPr>
    <w:r>
      <w:rPr>
        <w:noProof/>
        <w:lang w:val="es-PE" w:eastAsia="es-PE"/>
      </w:rPr>
      <w:drawing>
        <wp:anchor distT="152400" distB="152400" distL="152400" distR="152400" simplePos="0" relativeHeight="251659264" behindDoc="1" locked="0" layoutInCell="1" allowOverlap="1" wp14:anchorId="0028D22B" wp14:editId="391372C5">
          <wp:simplePos x="0" y="0"/>
          <wp:positionH relativeFrom="page">
            <wp:posOffset>561520</wp:posOffset>
          </wp:positionH>
          <wp:positionV relativeFrom="topMargin">
            <wp:align>bottom</wp:align>
          </wp:positionV>
          <wp:extent cx="2133600" cy="414655"/>
          <wp:effectExtent l="0" t="0" r="0" b="4445"/>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2133600" cy="4146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3CE"/>
    <w:multiLevelType w:val="hybridMultilevel"/>
    <w:tmpl w:val="BAC485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9ED294C"/>
    <w:multiLevelType w:val="hybridMultilevel"/>
    <w:tmpl w:val="F5A08FA2"/>
    <w:lvl w:ilvl="0" w:tplc="28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71"/>
    <w:rsid w:val="00035E4B"/>
    <w:rsid w:val="00042BA1"/>
    <w:rsid w:val="00077983"/>
    <w:rsid w:val="00097F12"/>
    <w:rsid w:val="000B5CD6"/>
    <w:rsid w:val="000C1D38"/>
    <w:rsid w:val="00175DFD"/>
    <w:rsid w:val="0024592F"/>
    <w:rsid w:val="00290C59"/>
    <w:rsid w:val="002C5309"/>
    <w:rsid w:val="003010C1"/>
    <w:rsid w:val="0035404A"/>
    <w:rsid w:val="00384B13"/>
    <w:rsid w:val="003A6A61"/>
    <w:rsid w:val="003D0BCD"/>
    <w:rsid w:val="003F314D"/>
    <w:rsid w:val="00431F7B"/>
    <w:rsid w:val="004D746C"/>
    <w:rsid w:val="00535940"/>
    <w:rsid w:val="00560B3E"/>
    <w:rsid w:val="005A389B"/>
    <w:rsid w:val="005A76D1"/>
    <w:rsid w:val="005B4110"/>
    <w:rsid w:val="005E0167"/>
    <w:rsid w:val="006251C4"/>
    <w:rsid w:val="00677D88"/>
    <w:rsid w:val="00683DBD"/>
    <w:rsid w:val="006A2E71"/>
    <w:rsid w:val="006A47F7"/>
    <w:rsid w:val="006E6F47"/>
    <w:rsid w:val="007150F9"/>
    <w:rsid w:val="00717095"/>
    <w:rsid w:val="0074495D"/>
    <w:rsid w:val="00772ACF"/>
    <w:rsid w:val="00773935"/>
    <w:rsid w:val="00781D1A"/>
    <w:rsid w:val="00861429"/>
    <w:rsid w:val="00886CDD"/>
    <w:rsid w:val="00897829"/>
    <w:rsid w:val="008F03DB"/>
    <w:rsid w:val="00983363"/>
    <w:rsid w:val="009951AF"/>
    <w:rsid w:val="009A099F"/>
    <w:rsid w:val="009B6C29"/>
    <w:rsid w:val="009D1811"/>
    <w:rsid w:val="00A3752E"/>
    <w:rsid w:val="00A37625"/>
    <w:rsid w:val="00A555BC"/>
    <w:rsid w:val="00A65D7D"/>
    <w:rsid w:val="00AC4524"/>
    <w:rsid w:val="00B25A60"/>
    <w:rsid w:val="00BA39BE"/>
    <w:rsid w:val="00BB1ED0"/>
    <w:rsid w:val="00BC4184"/>
    <w:rsid w:val="00BC5C79"/>
    <w:rsid w:val="00C14F2D"/>
    <w:rsid w:val="00C835CC"/>
    <w:rsid w:val="00C92874"/>
    <w:rsid w:val="00CA1148"/>
    <w:rsid w:val="00D55BE3"/>
    <w:rsid w:val="00D57E2C"/>
    <w:rsid w:val="00DB404B"/>
    <w:rsid w:val="00DD2EC4"/>
    <w:rsid w:val="00DD393B"/>
    <w:rsid w:val="00E008E2"/>
    <w:rsid w:val="00E02FA7"/>
    <w:rsid w:val="00E422EC"/>
    <w:rsid w:val="00E500AE"/>
    <w:rsid w:val="00E67211"/>
    <w:rsid w:val="00E71135"/>
    <w:rsid w:val="00EC1057"/>
    <w:rsid w:val="00EC11AF"/>
    <w:rsid w:val="00F00EAD"/>
    <w:rsid w:val="00F4420E"/>
    <w:rsid w:val="00F652BF"/>
    <w:rsid w:val="00F93B38"/>
    <w:rsid w:val="00F95BD2"/>
    <w:rsid w:val="00FC26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395C"/>
  <w15:chartTrackingRefBased/>
  <w15:docId w15:val="{6871E6FD-C03A-D446-A441-4D20BFD7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3DB"/>
    <w:pPr>
      <w:ind w:left="720"/>
      <w:contextualSpacing/>
    </w:pPr>
  </w:style>
  <w:style w:type="paragraph" w:customStyle="1" w:styleId="xmsonormal">
    <w:name w:val="x_msonormal"/>
    <w:basedOn w:val="Normal"/>
    <w:rsid w:val="005A76D1"/>
    <w:pPr>
      <w:spacing w:before="100" w:beforeAutospacing="1" w:after="100" w:afterAutospacing="1"/>
    </w:pPr>
    <w:rPr>
      <w:rFonts w:ascii="Times New Roman" w:eastAsia="Times New Roman" w:hAnsi="Times New Roman" w:cs="Times New Roman"/>
      <w:lang w:val="es-PE" w:eastAsia="es-ES_tradnl"/>
    </w:rPr>
  </w:style>
  <w:style w:type="paragraph" w:styleId="NormalWeb">
    <w:name w:val="Normal (Web)"/>
    <w:basedOn w:val="Normal"/>
    <w:uiPriority w:val="99"/>
    <w:unhideWhenUsed/>
    <w:rsid w:val="005A76D1"/>
    <w:pPr>
      <w:spacing w:before="100" w:beforeAutospacing="1" w:after="100" w:afterAutospacing="1"/>
    </w:pPr>
    <w:rPr>
      <w:rFonts w:ascii="Times New Roman" w:eastAsia="Times New Roman" w:hAnsi="Times New Roman" w:cs="Times New Roman"/>
      <w:lang w:val="es-PE" w:eastAsia="es-ES_tradnl"/>
    </w:rPr>
  </w:style>
  <w:style w:type="paragraph" w:styleId="Encabezado">
    <w:name w:val="header"/>
    <w:basedOn w:val="Normal"/>
    <w:link w:val="EncabezadoCar"/>
    <w:uiPriority w:val="99"/>
    <w:unhideWhenUsed/>
    <w:rsid w:val="000C1D38"/>
    <w:pPr>
      <w:tabs>
        <w:tab w:val="center" w:pos="4252"/>
        <w:tab w:val="right" w:pos="8504"/>
      </w:tabs>
    </w:pPr>
  </w:style>
  <w:style w:type="character" w:customStyle="1" w:styleId="EncabezadoCar">
    <w:name w:val="Encabezado Car"/>
    <w:basedOn w:val="Fuentedeprrafopredeter"/>
    <w:link w:val="Encabezado"/>
    <w:uiPriority w:val="99"/>
    <w:rsid w:val="000C1D38"/>
  </w:style>
  <w:style w:type="paragraph" w:styleId="Piedepgina">
    <w:name w:val="footer"/>
    <w:basedOn w:val="Normal"/>
    <w:link w:val="PiedepginaCar"/>
    <w:uiPriority w:val="99"/>
    <w:unhideWhenUsed/>
    <w:rsid w:val="000C1D38"/>
    <w:pPr>
      <w:tabs>
        <w:tab w:val="center" w:pos="4252"/>
        <w:tab w:val="right" w:pos="8504"/>
      </w:tabs>
    </w:pPr>
  </w:style>
  <w:style w:type="character" w:customStyle="1" w:styleId="PiedepginaCar">
    <w:name w:val="Pie de página Car"/>
    <w:basedOn w:val="Fuentedeprrafopredeter"/>
    <w:link w:val="Piedepgina"/>
    <w:uiPriority w:val="99"/>
    <w:rsid w:val="000C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3656">
      <w:bodyDiv w:val="1"/>
      <w:marLeft w:val="0"/>
      <w:marRight w:val="0"/>
      <w:marTop w:val="0"/>
      <w:marBottom w:val="0"/>
      <w:divBdr>
        <w:top w:val="none" w:sz="0" w:space="0" w:color="auto"/>
        <w:left w:val="none" w:sz="0" w:space="0" w:color="auto"/>
        <w:bottom w:val="none" w:sz="0" w:space="0" w:color="auto"/>
        <w:right w:val="none" w:sz="0" w:space="0" w:color="auto"/>
      </w:divBdr>
    </w:div>
    <w:div w:id="355081950">
      <w:bodyDiv w:val="1"/>
      <w:marLeft w:val="0"/>
      <w:marRight w:val="0"/>
      <w:marTop w:val="0"/>
      <w:marBottom w:val="0"/>
      <w:divBdr>
        <w:top w:val="none" w:sz="0" w:space="0" w:color="auto"/>
        <w:left w:val="none" w:sz="0" w:space="0" w:color="auto"/>
        <w:bottom w:val="none" w:sz="0" w:space="0" w:color="auto"/>
        <w:right w:val="none" w:sz="0" w:space="0" w:color="auto"/>
      </w:divBdr>
    </w:div>
    <w:div w:id="395595712">
      <w:bodyDiv w:val="1"/>
      <w:marLeft w:val="0"/>
      <w:marRight w:val="0"/>
      <w:marTop w:val="0"/>
      <w:marBottom w:val="0"/>
      <w:divBdr>
        <w:top w:val="none" w:sz="0" w:space="0" w:color="auto"/>
        <w:left w:val="none" w:sz="0" w:space="0" w:color="auto"/>
        <w:bottom w:val="none" w:sz="0" w:space="0" w:color="auto"/>
        <w:right w:val="none" w:sz="0" w:space="0" w:color="auto"/>
      </w:divBdr>
    </w:div>
    <w:div w:id="676880422">
      <w:bodyDiv w:val="1"/>
      <w:marLeft w:val="0"/>
      <w:marRight w:val="0"/>
      <w:marTop w:val="0"/>
      <w:marBottom w:val="0"/>
      <w:divBdr>
        <w:top w:val="none" w:sz="0" w:space="0" w:color="auto"/>
        <w:left w:val="none" w:sz="0" w:space="0" w:color="auto"/>
        <w:bottom w:val="none" w:sz="0" w:space="0" w:color="auto"/>
        <w:right w:val="none" w:sz="0" w:space="0" w:color="auto"/>
      </w:divBdr>
    </w:div>
    <w:div w:id="729771250">
      <w:bodyDiv w:val="1"/>
      <w:marLeft w:val="0"/>
      <w:marRight w:val="0"/>
      <w:marTop w:val="0"/>
      <w:marBottom w:val="0"/>
      <w:divBdr>
        <w:top w:val="none" w:sz="0" w:space="0" w:color="auto"/>
        <w:left w:val="none" w:sz="0" w:space="0" w:color="auto"/>
        <w:bottom w:val="none" w:sz="0" w:space="0" w:color="auto"/>
        <w:right w:val="none" w:sz="0" w:space="0" w:color="auto"/>
      </w:divBdr>
    </w:div>
    <w:div w:id="1462920746">
      <w:bodyDiv w:val="1"/>
      <w:marLeft w:val="0"/>
      <w:marRight w:val="0"/>
      <w:marTop w:val="0"/>
      <w:marBottom w:val="0"/>
      <w:divBdr>
        <w:top w:val="none" w:sz="0" w:space="0" w:color="auto"/>
        <w:left w:val="none" w:sz="0" w:space="0" w:color="auto"/>
        <w:bottom w:val="none" w:sz="0" w:space="0" w:color="auto"/>
        <w:right w:val="none" w:sz="0" w:space="0" w:color="auto"/>
      </w:divBdr>
    </w:div>
    <w:div w:id="1517619785">
      <w:bodyDiv w:val="1"/>
      <w:marLeft w:val="0"/>
      <w:marRight w:val="0"/>
      <w:marTop w:val="0"/>
      <w:marBottom w:val="0"/>
      <w:divBdr>
        <w:top w:val="none" w:sz="0" w:space="0" w:color="auto"/>
        <w:left w:val="none" w:sz="0" w:space="0" w:color="auto"/>
        <w:bottom w:val="none" w:sz="0" w:space="0" w:color="auto"/>
        <w:right w:val="none" w:sz="0" w:space="0" w:color="auto"/>
      </w:divBdr>
    </w:div>
    <w:div w:id="1529224007">
      <w:bodyDiv w:val="1"/>
      <w:marLeft w:val="0"/>
      <w:marRight w:val="0"/>
      <w:marTop w:val="0"/>
      <w:marBottom w:val="0"/>
      <w:divBdr>
        <w:top w:val="none" w:sz="0" w:space="0" w:color="auto"/>
        <w:left w:val="none" w:sz="0" w:space="0" w:color="auto"/>
        <w:bottom w:val="none" w:sz="0" w:space="0" w:color="auto"/>
        <w:right w:val="none" w:sz="0" w:space="0" w:color="auto"/>
      </w:divBdr>
    </w:div>
    <w:div w:id="1668094001">
      <w:bodyDiv w:val="1"/>
      <w:marLeft w:val="0"/>
      <w:marRight w:val="0"/>
      <w:marTop w:val="0"/>
      <w:marBottom w:val="0"/>
      <w:divBdr>
        <w:top w:val="none" w:sz="0" w:space="0" w:color="auto"/>
        <w:left w:val="none" w:sz="0" w:space="0" w:color="auto"/>
        <w:bottom w:val="none" w:sz="0" w:space="0" w:color="auto"/>
        <w:right w:val="none" w:sz="0" w:space="0" w:color="auto"/>
      </w:divBdr>
    </w:div>
    <w:div w:id="1791393640">
      <w:bodyDiv w:val="1"/>
      <w:marLeft w:val="0"/>
      <w:marRight w:val="0"/>
      <w:marTop w:val="0"/>
      <w:marBottom w:val="0"/>
      <w:divBdr>
        <w:top w:val="none" w:sz="0" w:space="0" w:color="auto"/>
        <w:left w:val="none" w:sz="0" w:space="0" w:color="auto"/>
        <w:bottom w:val="none" w:sz="0" w:space="0" w:color="auto"/>
        <w:right w:val="none" w:sz="0" w:space="0" w:color="auto"/>
      </w:divBdr>
    </w:div>
    <w:div w:id="1869561278">
      <w:bodyDiv w:val="1"/>
      <w:marLeft w:val="0"/>
      <w:marRight w:val="0"/>
      <w:marTop w:val="0"/>
      <w:marBottom w:val="0"/>
      <w:divBdr>
        <w:top w:val="none" w:sz="0" w:space="0" w:color="auto"/>
        <w:left w:val="none" w:sz="0" w:space="0" w:color="auto"/>
        <w:bottom w:val="none" w:sz="0" w:space="0" w:color="auto"/>
        <w:right w:val="none" w:sz="0" w:space="0" w:color="auto"/>
      </w:divBdr>
    </w:div>
    <w:div w:id="19799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9CD9-381D-42A0-95D3-06FB778F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alonso alfaro leturia</dc:creator>
  <cp:keywords/>
  <dc:description/>
  <cp:lastModifiedBy>Gustavo Juan Martinez Valeriano</cp:lastModifiedBy>
  <cp:revision>2</cp:revision>
  <dcterms:created xsi:type="dcterms:W3CDTF">2022-07-12T13:52:00Z</dcterms:created>
  <dcterms:modified xsi:type="dcterms:W3CDTF">2022-07-12T13:52:00Z</dcterms:modified>
</cp:coreProperties>
</file>