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0E" w:rsidRDefault="00F771E1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:rsidR="005A4A0E" w:rsidRDefault="005A4A0E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5A4A0E" w:rsidRPr="001D20EA" w:rsidRDefault="006D25CF">
      <w:pPr>
        <w:jc w:val="center"/>
        <w:rPr>
          <w:rFonts w:ascii="Arial" w:eastAsia="Arial" w:hAnsi="Arial" w:cs="Arial"/>
          <w:b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Sanipes: 291 c</w:t>
      </w:r>
      <w:r w:rsidR="00ED61AA" w:rsidRPr="001D20EA">
        <w:rPr>
          <w:rFonts w:ascii="Arial" w:eastAsia="Arial" w:hAnsi="Arial" w:cs="Arial"/>
          <w:b/>
          <w:sz w:val="32"/>
          <w:szCs w:val="32"/>
          <w:highlight w:val="white"/>
        </w:rPr>
        <w:t>entros de cul</w:t>
      </w:r>
      <w:r w:rsidR="001D20EA" w:rsidRPr="001D20EA">
        <w:rPr>
          <w:rFonts w:ascii="Arial" w:eastAsia="Arial" w:hAnsi="Arial" w:cs="Arial"/>
          <w:b/>
          <w:sz w:val="32"/>
          <w:szCs w:val="32"/>
          <w:highlight w:val="white"/>
        </w:rPr>
        <w:t>tivo de Piura, Puno, San Martín y Tumbes</w:t>
      </w:r>
      <w:r w:rsidR="00F771E1" w:rsidRPr="001D20EA">
        <w:rPr>
          <w:rFonts w:ascii="Arial" w:eastAsia="Arial" w:hAnsi="Arial" w:cs="Arial"/>
          <w:b/>
          <w:sz w:val="32"/>
          <w:szCs w:val="32"/>
          <w:highlight w:val="white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white"/>
        </w:rPr>
        <w:t>previenen</w:t>
      </w:r>
      <w:r w:rsidR="001D20EA" w:rsidRPr="001D20EA">
        <w:rPr>
          <w:rFonts w:ascii="Arial" w:eastAsia="Arial" w:hAnsi="Arial" w:cs="Arial"/>
          <w:b/>
          <w:sz w:val="32"/>
          <w:szCs w:val="32"/>
          <w:highlight w:val="white"/>
        </w:rPr>
        <w:t xml:space="preserve"> resistencia a los antimicrobianos en </w:t>
      </w:r>
      <w:r>
        <w:rPr>
          <w:rFonts w:ascii="Arial" w:eastAsia="Arial" w:hAnsi="Arial" w:cs="Arial"/>
          <w:b/>
          <w:sz w:val="32"/>
          <w:szCs w:val="32"/>
          <w:highlight w:val="white"/>
        </w:rPr>
        <w:t>sus productos</w:t>
      </w:r>
      <w:r w:rsidR="001D20EA">
        <w:rPr>
          <w:rFonts w:ascii="Arial" w:eastAsia="Arial" w:hAnsi="Arial" w:cs="Arial"/>
          <w:b/>
          <w:sz w:val="32"/>
          <w:szCs w:val="32"/>
          <w:highlight w:val="white"/>
        </w:rPr>
        <w:t xml:space="preserve"> hidrobiológicos</w:t>
      </w:r>
    </w:p>
    <w:p w:rsidR="001D20EA" w:rsidRPr="006D25CF" w:rsidRDefault="006D25CF" w:rsidP="001D20EA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Uso de b</w:t>
      </w:r>
      <w:r w:rsidR="001D20EA" w:rsidRPr="006D25CF">
        <w:rPr>
          <w:rFonts w:ascii="Arial" w:eastAsia="Arial" w:hAnsi="Arial" w:cs="Arial"/>
          <w:i/>
          <w:sz w:val="20"/>
          <w:szCs w:val="20"/>
        </w:rPr>
        <w:t>uenas prácticas acuícolas garantizan la buena condición sanitaria, la inocuidad alimentaria y desarrollo sostenible de esta actividad productiva.</w:t>
      </w:r>
    </w:p>
    <w:p w:rsidR="005A4A0E" w:rsidRPr="001D20EA" w:rsidRDefault="005A4A0E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5A4A0E" w:rsidRPr="001D20EA" w:rsidRDefault="00F771E1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1D20EA">
        <w:rPr>
          <w:rFonts w:ascii="Arial" w:eastAsia="Arial" w:hAnsi="Arial" w:cs="Arial"/>
          <w:sz w:val="20"/>
          <w:szCs w:val="20"/>
          <w:highlight w:val="white"/>
        </w:rPr>
        <w:t xml:space="preserve">El Ministerio de la Producción, a través del Organismo Nacional de Sanidad Pesquera (Sanipes), 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informó que un total de 291 centros de producción acuícola ubicados en Piura, Puno, San Martín y Tumbes implementarán mejoras en las buenas prácticas orientadas a la prevención de la resistencia a los antimicrobianos en las especies hidrobiológicas que se cultivan en cada una de estas </w:t>
      </w:r>
      <w:r w:rsidR="00B02C9A">
        <w:rPr>
          <w:rFonts w:ascii="Arial" w:eastAsia="Arial" w:hAnsi="Arial" w:cs="Arial"/>
          <w:sz w:val="20"/>
          <w:szCs w:val="20"/>
        </w:rPr>
        <w:t>regiones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 del país</w:t>
      </w:r>
      <w:r w:rsidR="00060E32">
        <w:rPr>
          <w:rFonts w:ascii="Arial" w:eastAsia="Arial" w:hAnsi="Arial" w:cs="Arial"/>
          <w:sz w:val="20"/>
          <w:szCs w:val="20"/>
        </w:rPr>
        <w:t>.</w:t>
      </w:r>
    </w:p>
    <w:p w:rsidR="001F2C1A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</w:rPr>
      </w:pPr>
    </w:p>
    <w:p w:rsidR="001F2C1A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</w:rPr>
      </w:pPr>
      <w:r w:rsidRPr="001D20EA">
        <w:rPr>
          <w:rFonts w:ascii="Arial" w:eastAsia="Arial" w:hAnsi="Arial" w:cs="Arial"/>
          <w:sz w:val="20"/>
          <w:szCs w:val="20"/>
        </w:rPr>
        <w:t xml:space="preserve">Ello </w:t>
      </w:r>
      <w:r w:rsidR="00CE6C1A">
        <w:rPr>
          <w:rFonts w:ascii="Arial" w:eastAsia="Arial" w:hAnsi="Arial" w:cs="Arial"/>
          <w:sz w:val="20"/>
          <w:szCs w:val="20"/>
        </w:rPr>
        <w:t>como</w:t>
      </w:r>
      <w:r w:rsidRPr="001D20EA">
        <w:rPr>
          <w:rFonts w:ascii="Arial" w:eastAsia="Arial" w:hAnsi="Arial" w:cs="Arial"/>
          <w:sz w:val="20"/>
          <w:szCs w:val="20"/>
        </w:rPr>
        <w:t xml:space="preserve"> parte de los resultados finales de la investigación denominada “Estrategias para la prevención de la resistencia antimicrobiana en la acuicultura peruana bajo el enfoque </w:t>
      </w:r>
      <w:proofErr w:type="spellStart"/>
      <w:r w:rsidRPr="001D20EA">
        <w:rPr>
          <w:rFonts w:ascii="Arial" w:eastAsia="Arial" w:hAnsi="Arial" w:cs="Arial"/>
          <w:sz w:val="20"/>
          <w:szCs w:val="20"/>
        </w:rPr>
        <w:t>One</w:t>
      </w:r>
      <w:proofErr w:type="spellEnd"/>
      <w:r w:rsidRPr="001D20E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D20EA">
        <w:rPr>
          <w:rFonts w:ascii="Arial" w:eastAsia="Arial" w:hAnsi="Arial" w:cs="Arial"/>
          <w:sz w:val="20"/>
          <w:szCs w:val="20"/>
        </w:rPr>
        <w:t>Health</w:t>
      </w:r>
      <w:proofErr w:type="spellEnd"/>
      <w:r w:rsidRPr="001D20EA">
        <w:rPr>
          <w:rFonts w:ascii="Arial" w:eastAsia="Arial" w:hAnsi="Arial" w:cs="Arial"/>
          <w:sz w:val="20"/>
          <w:szCs w:val="20"/>
        </w:rPr>
        <w:t xml:space="preserve">”, el cual se ejecuta en cuatro especies: conchas de abanico </w:t>
      </w:r>
      <w:r w:rsidR="0053123A">
        <w:rPr>
          <w:rFonts w:ascii="Arial" w:eastAsia="Arial" w:hAnsi="Arial" w:cs="Arial"/>
          <w:sz w:val="20"/>
          <w:szCs w:val="20"/>
        </w:rPr>
        <w:t>(</w:t>
      </w:r>
      <w:proofErr w:type="spellStart"/>
      <w:r w:rsidR="0053123A">
        <w:rPr>
          <w:rFonts w:ascii="Arial" w:eastAsia="Arial" w:hAnsi="Arial" w:cs="Arial"/>
          <w:i/>
          <w:sz w:val="20"/>
          <w:szCs w:val="20"/>
        </w:rPr>
        <w:t>Argopecten</w:t>
      </w:r>
      <w:proofErr w:type="spellEnd"/>
      <w:r w:rsidR="0053123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53123A">
        <w:rPr>
          <w:rFonts w:ascii="Arial" w:eastAsia="Arial" w:hAnsi="Arial" w:cs="Arial"/>
          <w:i/>
          <w:sz w:val="20"/>
          <w:szCs w:val="20"/>
        </w:rPr>
        <w:t>purpuratus</w:t>
      </w:r>
      <w:proofErr w:type="spellEnd"/>
      <w:r w:rsidR="0053123A">
        <w:rPr>
          <w:rFonts w:ascii="Arial" w:eastAsia="Arial" w:hAnsi="Arial" w:cs="Arial"/>
          <w:sz w:val="20"/>
          <w:szCs w:val="20"/>
        </w:rPr>
        <w:t>),</w:t>
      </w:r>
      <w:r w:rsidR="0053123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1D20EA">
        <w:rPr>
          <w:rFonts w:ascii="Arial" w:eastAsia="Arial" w:hAnsi="Arial" w:cs="Arial"/>
          <w:sz w:val="20"/>
          <w:szCs w:val="20"/>
        </w:rPr>
        <w:t xml:space="preserve">trucha arcoíris </w:t>
      </w:r>
      <w:r w:rsidR="0053123A">
        <w:rPr>
          <w:rFonts w:ascii="Arial" w:eastAsia="Arial" w:hAnsi="Arial" w:cs="Arial"/>
          <w:sz w:val="20"/>
          <w:szCs w:val="20"/>
        </w:rPr>
        <w:t>(</w:t>
      </w:r>
      <w:proofErr w:type="spellStart"/>
      <w:r w:rsidR="0053123A">
        <w:rPr>
          <w:rFonts w:ascii="Arial" w:eastAsia="Arial" w:hAnsi="Arial" w:cs="Arial"/>
          <w:i/>
          <w:sz w:val="20"/>
          <w:szCs w:val="20"/>
        </w:rPr>
        <w:t>Oncorhynchus</w:t>
      </w:r>
      <w:proofErr w:type="spellEnd"/>
      <w:r w:rsidR="0053123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53123A">
        <w:rPr>
          <w:rFonts w:ascii="Arial" w:eastAsia="Arial" w:hAnsi="Arial" w:cs="Arial"/>
          <w:i/>
          <w:sz w:val="20"/>
          <w:szCs w:val="20"/>
        </w:rPr>
        <w:t>mykiss</w:t>
      </w:r>
      <w:proofErr w:type="spellEnd"/>
      <w:r w:rsidR="0053123A">
        <w:rPr>
          <w:rFonts w:ascii="Arial" w:eastAsia="Arial" w:hAnsi="Arial" w:cs="Arial"/>
          <w:sz w:val="20"/>
          <w:szCs w:val="20"/>
        </w:rPr>
        <w:t>)</w:t>
      </w:r>
      <w:r w:rsidR="0053123A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1D20EA">
        <w:rPr>
          <w:rFonts w:ascii="Arial" w:eastAsia="Arial" w:hAnsi="Arial" w:cs="Arial"/>
          <w:sz w:val="20"/>
          <w:szCs w:val="20"/>
        </w:rPr>
        <w:t xml:space="preserve">tilapia </w:t>
      </w:r>
      <w:r w:rsidR="0053123A">
        <w:rPr>
          <w:rFonts w:ascii="Arial" w:eastAsia="Arial" w:hAnsi="Arial" w:cs="Arial"/>
          <w:sz w:val="20"/>
          <w:szCs w:val="20"/>
        </w:rPr>
        <w:t>(</w:t>
      </w:r>
      <w:proofErr w:type="spellStart"/>
      <w:r w:rsidR="0053123A">
        <w:rPr>
          <w:rFonts w:ascii="Arial" w:eastAsia="Arial" w:hAnsi="Arial" w:cs="Arial"/>
          <w:i/>
          <w:sz w:val="20"/>
          <w:szCs w:val="20"/>
        </w:rPr>
        <w:t>Oreochromis</w:t>
      </w:r>
      <w:proofErr w:type="spellEnd"/>
      <w:r w:rsidR="0053123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53123A">
        <w:rPr>
          <w:rFonts w:ascii="Arial" w:eastAsia="Arial" w:hAnsi="Arial" w:cs="Arial"/>
          <w:i/>
          <w:sz w:val="20"/>
          <w:szCs w:val="20"/>
        </w:rPr>
        <w:t>spp</w:t>
      </w:r>
      <w:proofErr w:type="spellEnd"/>
      <w:r w:rsidR="0053123A">
        <w:rPr>
          <w:rFonts w:ascii="Arial" w:eastAsia="Arial" w:hAnsi="Arial" w:cs="Arial"/>
          <w:i/>
          <w:sz w:val="20"/>
          <w:szCs w:val="20"/>
        </w:rPr>
        <w:t>.</w:t>
      </w:r>
      <w:r w:rsidR="0053123A">
        <w:rPr>
          <w:rFonts w:ascii="Arial" w:eastAsia="Arial" w:hAnsi="Arial" w:cs="Arial"/>
          <w:sz w:val="20"/>
          <w:szCs w:val="20"/>
        </w:rPr>
        <w:t xml:space="preserve">) </w:t>
      </w:r>
      <w:r w:rsidRPr="001D20EA">
        <w:rPr>
          <w:rFonts w:ascii="Arial" w:eastAsia="Arial" w:hAnsi="Arial" w:cs="Arial"/>
          <w:sz w:val="20"/>
          <w:szCs w:val="20"/>
        </w:rPr>
        <w:t xml:space="preserve">y langostino blanco </w:t>
      </w:r>
      <w:r w:rsidR="0053123A">
        <w:rPr>
          <w:rFonts w:ascii="Arial" w:eastAsia="Arial" w:hAnsi="Arial" w:cs="Arial"/>
          <w:color w:val="1D1D1B"/>
          <w:sz w:val="20"/>
          <w:szCs w:val="20"/>
        </w:rPr>
        <w:t>(</w:t>
      </w:r>
      <w:proofErr w:type="spellStart"/>
      <w:r w:rsidR="0053123A">
        <w:rPr>
          <w:rFonts w:ascii="Arial" w:eastAsia="Arial" w:hAnsi="Arial" w:cs="Arial"/>
          <w:i/>
          <w:color w:val="1D1D1B"/>
          <w:sz w:val="20"/>
          <w:szCs w:val="20"/>
          <w:highlight w:val="white"/>
        </w:rPr>
        <w:t>Penaeus</w:t>
      </w:r>
      <w:proofErr w:type="spellEnd"/>
      <w:r w:rsidR="0053123A">
        <w:rPr>
          <w:rFonts w:ascii="Arial" w:eastAsia="Arial" w:hAnsi="Arial" w:cs="Arial"/>
          <w:i/>
          <w:color w:val="1D1D1B"/>
          <w:sz w:val="20"/>
          <w:szCs w:val="20"/>
          <w:highlight w:val="white"/>
        </w:rPr>
        <w:t xml:space="preserve"> </w:t>
      </w:r>
      <w:proofErr w:type="spellStart"/>
      <w:r w:rsidR="0053123A">
        <w:rPr>
          <w:rFonts w:ascii="Arial" w:eastAsia="Arial" w:hAnsi="Arial" w:cs="Arial"/>
          <w:i/>
          <w:color w:val="1D1D1B"/>
          <w:sz w:val="20"/>
          <w:szCs w:val="20"/>
          <w:highlight w:val="white"/>
        </w:rPr>
        <w:t>vannamei</w:t>
      </w:r>
      <w:proofErr w:type="spellEnd"/>
      <w:r w:rsidR="0053123A">
        <w:rPr>
          <w:rFonts w:ascii="Arial" w:eastAsia="Arial" w:hAnsi="Arial" w:cs="Arial"/>
          <w:color w:val="1D1D1B"/>
          <w:sz w:val="20"/>
          <w:szCs w:val="20"/>
          <w:highlight w:val="white"/>
        </w:rPr>
        <w:t>)</w:t>
      </w:r>
      <w:r w:rsidR="0053123A">
        <w:rPr>
          <w:rFonts w:ascii="Arial" w:eastAsia="Arial" w:hAnsi="Arial" w:cs="Arial"/>
          <w:color w:val="1D1D1B"/>
          <w:sz w:val="20"/>
          <w:szCs w:val="20"/>
          <w:highlight w:val="white"/>
        </w:rPr>
        <w:t>.</w:t>
      </w:r>
    </w:p>
    <w:p w:rsidR="001F2C1A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</w:rPr>
      </w:pPr>
    </w:p>
    <w:p w:rsidR="001F2C1A" w:rsidRPr="001D20EA" w:rsidRDefault="00060E32" w:rsidP="001F2C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 importante resaltar, que el </w:t>
      </w:r>
      <w:r w:rsidR="001F2C1A" w:rsidRPr="001D20EA">
        <w:rPr>
          <w:rFonts w:ascii="Arial" w:eastAsia="Arial" w:hAnsi="Arial" w:cs="Arial"/>
          <w:sz w:val="20"/>
          <w:szCs w:val="20"/>
        </w:rPr>
        <w:t>estudio comprendió la realización de más de 6000 ensayos con la toma de unas 1600 muestras en dichas áreas de producción</w:t>
      </w:r>
      <w:r>
        <w:rPr>
          <w:rFonts w:ascii="Arial" w:eastAsia="Arial" w:hAnsi="Arial" w:cs="Arial"/>
          <w:sz w:val="20"/>
          <w:szCs w:val="20"/>
        </w:rPr>
        <w:t xml:space="preserve">, cuyo resultado 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facilitó la identificación y asilamiento de 1317 cepas de diversos microorganismos, entre los que destacan la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Escherichia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coli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,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Enterococcus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spp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., Salmonella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spp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., Vibrio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spp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., Vibrio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parahaemolyticus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,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Aeromonas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salmonicida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 y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Flavobacterium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 xml:space="preserve"> </w:t>
      </w:r>
      <w:proofErr w:type="spellStart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psychrophilum</w:t>
      </w:r>
      <w:proofErr w:type="spellEnd"/>
      <w:r w:rsidR="0053123A">
        <w:rPr>
          <w:rFonts w:ascii="Arial" w:eastAsia="Arial" w:hAnsi="Arial" w:cs="Arial"/>
          <w:i/>
          <w:color w:val="111111"/>
          <w:sz w:val="20"/>
          <w:szCs w:val="20"/>
        </w:rPr>
        <w:t>.</w:t>
      </w:r>
    </w:p>
    <w:p w:rsidR="001F2C1A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</w:rPr>
      </w:pPr>
    </w:p>
    <w:p w:rsidR="00060E32" w:rsidRPr="001D20EA" w:rsidRDefault="00060E32" w:rsidP="001F2C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Sanipes c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omo autoridad sanitaria, destaca el uso de buenas prácticas </w:t>
      </w:r>
      <w:r>
        <w:rPr>
          <w:rFonts w:ascii="Arial" w:eastAsia="Arial" w:hAnsi="Arial" w:cs="Arial"/>
          <w:sz w:val="20"/>
          <w:szCs w:val="20"/>
        </w:rPr>
        <w:t>para evitar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 el uso </w:t>
      </w:r>
      <w:r w:rsidR="007E7806" w:rsidRPr="001D20EA">
        <w:rPr>
          <w:rFonts w:ascii="Arial" w:eastAsia="Arial" w:hAnsi="Arial" w:cs="Arial"/>
          <w:sz w:val="20"/>
          <w:szCs w:val="20"/>
        </w:rPr>
        <w:t>in</w:t>
      </w:r>
      <w:r w:rsidR="007E7806">
        <w:rPr>
          <w:rFonts w:ascii="Arial" w:eastAsia="Arial" w:hAnsi="Arial" w:cs="Arial"/>
          <w:sz w:val="20"/>
          <w:szCs w:val="20"/>
        </w:rPr>
        <w:t xml:space="preserve">discriminado </w:t>
      </w:r>
      <w:r w:rsidR="001F2C1A" w:rsidRPr="001D20EA">
        <w:rPr>
          <w:rFonts w:ascii="Arial" w:eastAsia="Arial" w:hAnsi="Arial" w:cs="Arial"/>
          <w:sz w:val="20"/>
          <w:szCs w:val="20"/>
        </w:rPr>
        <w:t>de insumos veterinarios y la propagación de enfermedades en los cultivos (peces)</w:t>
      </w:r>
      <w:r w:rsidR="00CE6C1A">
        <w:rPr>
          <w:rFonts w:ascii="Arial" w:eastAsia="Arial" w:hAnsi="Arial" w:cs="Arial"/>
          <w:sz w:val="20"/>
          <w:szCs w:val="20"/>
        </w:rPr>
        <w:t>; teniendo en cuenta que, en un futuro próximo,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 </w:t>
      </w:r>
      <w:r w:rsidR="00CE6C1A" w:rsidRPr="001D20EA">
        <w:rPr>
          <w:rFonts w:ascii="Arial" w:eastAsia="Arial" w:hAnsi="Arial" w:cs="Arial"/>
          <w:sz w:val="20"/>
          <w:szCs w:val="20"/>
        </w:rPr>
        <w:t xml:space="preserve">el empleo de antibióticos usados de forma desmedida </w:t>
      </w:r>
      <w:r w:rsidR="00CE6C1A">
        <w:rPr>
          <w:rFonts w:ascii="Arial" w:eastAsia="Arial" w:hAnsi="Arial" w:cs="Arial"/>
          <w:sz w:val="20"/>
          <w:szCs w:val="20"/>
        </w:rPr>
        <w:t>podría dejar de ser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 efectivo, </w:t>
      </w:r>
      <w:r w:rsidR="00CE6C1A">
        <w:rPr>
          <w:rFonts w:ascii="Arial" w:eastAsia="Arial" w:hAnsi="Arial" w:cs="Arial"/>
          <w:sz w:val="20"/>
          <w:szCs w:val="20"/>
        </w:rPr>
        <w:t xml:space="preserve">generando </w:t>
      </w:r>
      <w:r w:rsidR="007E7806">
        <w:rPr>
          <w:rFonts w:ascii="Arial" w:eastAsia="Arial" w:hAnsi="Arial" w:cs="Arial"/>
          <w:sz w:val="20"/>
          <w:szCs w:val="20"/>
        </w:rPr>
        <w:t xml:space="preserve">necesariamente </w:t>
      </w:r>
      <w:r w:rsidR="00CE6C1A">
        <w:rPr>
          <w:rFonts w:ascii="Arial" w:eastAsia="Arial" w:hAnsi="Arial" w:cs="Arial"/>
          <w:sz w:val="20"/>
          <w:szCs w:val="20"/>
        </w:rPr>
        <w:t>el uso de</w:t>
      </w:r>
      <w:r w:rsidR="001F2C1A" w:rsidRPr="001D20EA">
        <w:rPr>
          <w:rFonts w:ascii="Arial" w:eastAsia="Arial" w:hAnsi="Arial" w:cs="Arial"/>
          <w:sz w:val="20"/>
          <w:szCs w:val="20"/>
        </w:rPr>
        <w:t xml:space="preserve"> otros antibióticos más potentes y caros</w:t>
      </w:r>
      <w:r w:rsidR="00CE6C1A">
        <w:rPr>
          <w:rFonts w:ascii="Arial" w:eastAsia="Arial" w:hAnsi="Arial" w:cs="Arial"/>
          <w:sz w:val="20"/>
          <w:szCs w:val="20"/>
        </w:rPr>
        <w:t>.</w:t>
      </w:r>
    </w:p>
    <w:p w:rsidR="001F2C1A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</w:rPr>
      </w:pPr>
    </w:p>
    <w:p w:rsidR="001F2C1A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</w:rPr>
      </w:pPr>
      <w:r w:rsidRPr="001D20EA">
        <w:rPr>
          <w:rFonts w:ascii="Arial" w:eastAsia="Arial" w:hAnsi="Arial" w:cs="Arial"/>
          <w:sz w:val="20"/>
          <w:szCs w:val="20"/>
        </w:rPr>
        <w:t xml:space="preserve">En tal sentido, el objetivo es prevenir la propagación de la resistencia antimicrobiana (RAM) a lo largo de toda la cadena alimenticia, </w:t>
      </w:r>
      <w:r w:rsidR="00CE6C1A">
        <w:rPr>
          <w:rFonts w:ascii="Arial" w:eastAsia="Arial" w:hAnsi="Arial" w:cs="Arial"/>
          <w:sz w:val="20"/>
          <w:szCs w:val="20"/>
        </w:rPr>
        <w:t xml:space="preserve">con </w:t>
      </w:r>
      <w:r w:rsidRPr="001D20EA">
        <w:rPr>
          <w:rFonts w:ascii="Arial" w:eastAsia="Arial" w:hAnsi="Arial" w:cs="Arial"/>
          <w:sz w:val="20"/>
          <w:szCs w:val="20"/>
        </w:rPr>
        <w:t>participación activa de todos los agentes de la cadena productiva acuícola</w:t>
      </w:r>
      <w:r w:rsidR="00CE6C1A">
        <w:rPr>
          <w:rFonts w:ascii="Arial" w:eastAsia="Arial" w:hAnsi="Arial" w:cs="Arial"/>
          <w:sz w:val="20"/>
          <w:szCs w:val="20"/>
        </w:rPr>
        <w:t>; e</w:t>
      </w:r>
      <w:r w:rsidRPr="001D20EA">
        <w:rPr>
          <w:rFonts w:ascii="Arial" w:eastAsia="Arial" w:hAnsi="Arial" w:cs="Arial"/>
          <w:sz w:val="20"/>
          <w:szCs w:val="20"/>
        </w:rPr>
        <w:t>n consecuencia, se contribuye con la protección de la salud pública ante enfermedades de transmisión alimentaria (ETA) de naturaleza infecciosa, generadas por estos microorganismos</w:t>
      </w:r>
      <w:r w:rsidR="00CE6C1A">
        <w:rPr>
          <w:rFonts w:ascii="Arial" w:eastAsia="Arial" w:hAnsi="Arial" w:cs="Arial"/>
          <w:sz w:val="20"/>
          <w:szCs w:val="20"/>
        </w:rPr>
        <w:t>.</w:t>
      </w:r>
    </w:p>
    <w:p w:rsidR="001F2C1A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</w:rPr>
      </w:pPr>
    </w:p>
    <w:p w:rsidR="001F2C1A" w:rsidRPr="0053123A" w:rsidRDefault="001F2C1A" w:rsidP="001F2C1A">
      <w:pPr>
        <w:jc w:val="both"/>
        <w:rPr>
          <w:rFonts w:ascii="Arial" w:eastAsia="Arial" w:hAnsi="Arial" w:cs="Arial"/>
          <w:b/>
          <w:sz w:val="21"/>
          <w:szCs w:val="21"/>
        </w:rPr>
      </w:pPr>
      <w:r w:rsidRPr="0053123A">
        <w:rPr>
          <w:rFonts w:ascii="Arial" w:eastAsia="Arial" w:hAnsi="Arial" w:cs="Arial"/>
          <w:b/>
          <w:sz w:val="21"/>
          <w:szCs w:val="21"/>
        </w:rPr>
        <w:t xml:space="preserve">Estrategias para la prevención de la resistencia antimicrobiana en la acuicultura peruana bajo el enfoque </w:t>
      </w:r>
      <w:proofErr w:type="spellStart"/>
      <w:r w:rsidRPr="0053123A">
        <w:rPr>
          <w:rFonts w:ascii="Arial" w:eastAsia="Arial" w:hAnsi="Arial" w:cs="Arial"/>
          <w:b/>
          <w:sz w:val="21"/>
          <w:szCs w:val="21"/>
        </w:rPr>
        <w:t>One</w:t>
      </w:r>
      <w:proofErr w:type="spellEnd"/>
      <w:r w:rsidRPr="0053123A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53123A">
        <w:rPr>
          <w:rFonts w:ascii="Arial" w:eastAsia="Arial" w:hAnsi="Arial" w:cs="Arial"/>
          <w:b/>
          <w:sz w:val="21"/>
          <w:szCs w:val="21"/>
        </w:rPr>
        <w:t>Health</w:t>
      </w:r>
      <w:proofErr w:type="spellEnd"/>
      <w:r w:rsidRPr="0053123A">
        <w:rPr>
          <w:rFonts w:ascii="Arial" w:eastAsia="Arial" w:hAnsi="Arial" w:cs="Arial"/>
          <w:b/>
          <w:sz w:val="21"/>
          <w:szCs w:val="21"/>
        </w:rPr>
        <w:t xml:space="preserve">    </w:t>
      </w:r>
    </w:p>
    <w:p w:rsidR="005A4A0E" w:rsidRPr="001D20EA" w:rsidRDefault="001F2C1A" w:rsidP="001F2C1A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1D20EA">
        <w:rPr>
          <w:rFonts w:ascii="Arial" w:eastAsia="Arial" w:hAnsi="Arial" w:cs="Arial"/>
          <w:sz w:val="20"/>
          <w:szCs w:val="20"/>
        </w:rPr>
        <w:t xml:space="preserve">Es un </w:t>
      </w:r>
      <w:proofErr w:type="spellStart"/>
      <w:r w:rsidRPr="001D20EA">
        <w:rPr>
          <w:rFonts w:ascii="Arial" w:eastAsia="Arial" w:hAnsi="Arial" w:cs="Arial"/>
          <w:sz w:val="20"/>
          <w:szCs w:val="20"/>
        </w:rPr>
        <w:t>subproyecto</w:t>
      </w:r>
      <w:proofErr w:type="spellEnd"/>
      <w:r w:rsidRPr="001D20EA">
        <w:rPr>
          <w:rFonts w:ascii="Arial" w:eastAsia="Arial" w:hAnsi="Arial" w:cs="Arial"/>
          <w:sz w:val="20"/>
          <w:szCs w:val="20"/>
        </w:rPr>
        <w:t xml:space="preserve"> ejecutado por Sanipes, orientado a la investigación y el fortalecimiento de la red de sanidad pesquera y acuícola. Así mismo, cuenta con el financiamiento del Programa Nacional de Innovación en Pesca y Acuicultura (PNIPA), destinado al cumplimiento del primer hito de dicho plan: Determinación de la distribución de los patógenos en las poblaciones de estudio.</w:t>
      </w:r>
    </w:p>
    <w:p w:rsidR="005A4A0E" w:rsidRDefault="005A4A0E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3123A" w:rsidRPr="001D20EA" w:rsidRDefault="0053123A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0" w:name="_GoBack"/>
      <w:bookmarkEnd w:id="0"/>
    </w:p>
    <w:p w:rsidR="005A4A0E" w:rsidRPr="001D20EA" w:rsidRDefault="00F771E1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1D20EA">
        <w:rPr>
          <w:rFonts w:ascii="Arial" w:eastAsia="Arial" w:hAnsi="Arial" w:cs="Arial"/>
          <w:sz w:val="20"/>
          <w:szCs w:val="20"/>
          <w:highlight w:val="white"/>
        </w:rPr>
        <w:t>Agradecemos su difusión.</w:t>
      </w:r>
    </w:p>
    <w:sectPr w:rsidR="005A4A0E" w:rsidRPr="001D20EA">
      <w:headerReference w:type="default" r:id="rId7"/>
      <w:footerReference w:type="default" r:id="rId8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E1" w:rsidRDefault="00F771E1">
      <w:r>
        <w:separator/>
      </w:r>
    </w:p>
  </w:endnote>
  <w:endnote w:type="continuationSeparator" w:id="0">
    <w:p w:rsidR="00F771E1" w:rsidRDefault="00F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0E" w:rsidRDefault="00F771E1">
    <w:pPr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-330</wp:posOffset>
          </wp:positionV>
          <wp:extent cx="1193800" cy="770255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4A0E" w:rsidRDefault="00F77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:rsidR="005A4A0E" w:rsidRDefault="00F77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E1" w:rsidRDefault="00F771E1">
      <w:r>
        <w:separator/>
      </w:r>
    </w:p>
  </w:footnote>
  <w:footnote w:type="continuationSeparator" w:id="0">
    <w:p w:rsidR="00F771E1" w:rsidRDefault="00F7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0E" w:rsidRDefault="00F77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-427050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20" name="image4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22" name="image3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4A0E" w:rsidRDefault="005A4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5A4A0E" w:rsidRDefault="005A4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5A4A0E" w:rsidRDefault="005A4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5A4A0E" w:rsidRDefault="005A4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5A4A0E" w:rsidRDefault="005A4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5A4A0E" w:rsidRDefault="00F77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5A4A0E" w:rsidRDefault="00F77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:rsidR="005A4A0E" w:rsidRDefault="00F77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:rsidR="005A4A0E" w:rsidRDefault="005A4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0E"/>
    <w:rsid w:val="00060E32"/>
    <w:rsid w:val="001D20EA"/>
    <w:rsid w:val="001F2C1A"/>
    <w:rsid w:val="0053123A"/>
    <w:rsid w:val="005A4A0E"/>
    <w:rsid w:val="006D25CF"/>
    <w:rsid w:val="007E7806"/>
    <w:rsid w:val="009A6E1D"/>
    <w:rsid w:val="00A03CCB"/>
    <w:rsid w:val="00B02C9A"/>
    <w:rsid w:val="00B815FA"/>
    <w:rsid w:val="00CE6C1A"/>
    <w:rsid w:val="00ED61AA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EE2C2"/>
  <w15:docId w15:val="{EE7DD358-8614-0546-A114-1527B934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FbaAyMk2aNn3PtxkXm51NGauQ==">AMUW2mXvUpDlkfAQ1OcCGTxOdsi2PslvQUOE8S6Pw9g0VjjNmMnMznMk4Tuk8yPB39pxiK2m55eK1H96xe57GK9mJIIrj6u7KtiNO6V0SICn5zQ4C3Yw8Mo=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Usuario de Microsoft Office</cp:lastModifiedBy>
  <cp:revision>9</cp:revision>
  <dcterms:created xsi:type="dcterms:W3CDTF">2022-07-03T18:29:00Z</dcterms:created>
  <dcterms:modified xsi:type="dcterms:W3CDTF">2022-07-15T20:39:00Z</dcterms:modified>
</cp:coreProperties>
</file>