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6EF" w:rsidRDefault="00825BC7">
      <w:pPr>
        <w:jc w:val="center"/>
        <w:rPr>
          <w:rFonts w:ascii="Arial" w:eastAsia="Arial" w:hAnsi="Arial" w:cs="Arial"/>
          <w:b/>
          <w:u w:val="single"/>
        </w:rPr>
      </w:pPr>
      <w:r>
        <w:rPr>
          <w:rFonts w:ascii="Arial" w:eastAsia="Arial" w:hAnsi="Arial" w:cs="Arial"/>
          <w:b/>
          <w:u w:val="single"/>
        </w:rPr>
        <w:t>Nota de Prensa</w:t>
      </w:r>
    </w:p>
    <w:p w:rsidR="003416EF" w:rsidRDefault="003416EF">
      <w:pPr>
        <w:jc w:val="center"/>
        <w:rPr>
          <w:rFonts w:ascii="Arial" w:eastAsia="Arial" w:hAnsi="Arial" w:cs="Arial"/>
          <w:b/>
          <w:sz w:val="10"/>
          <w:szCs w:val="10"/>
          <w:u w:val="single"/>
        </w:rPr>
      </w:pPr>
    </w:p>
    <w:p w:rsidR="003416EF" w:rsidRDefault="00825BC7">
      <w:pPr>
        <w:jc w:val="center"/>
        <w:rPr>
          <w:rFonts w:ascii="Arial" w:eastAsia="Arial" w:hAnsi="Arial" w:cs="Arial"/>
          <w:b/>
          <w:sz w:val="32"/>
          <w:szCs w:val="32"/>
        </w:rPr>
      </w:pPr>
      <w:bookmarkStart w:id="0" w:name="_heading=h.1fob9te" w:colFirst="0" w:colLast="0"/>
      <w:bookmarkEnd w:id="0"/>
      <w:r>
        <w:rPr>
          <w:rFonts w:ascii="Arial" w:eastAsia="Arial" w:hAnsi="Arial" w:cs="Arial"/>
          <w:b/>
          <w:sz w:val="32"/>
          <w:szCs w:val="32"/>
        </w:rPr>
        <w:t>Científicos de Sanipes actualizan conocimientos en Italia para implementar nuevas pruebas microbiológicas</w:t>
      </w:r>
    </w:p>
    <w:p w:rsidR="003416EF" w:rsidRDefault="00825BC7">
      <w:pPr>
        <w:ind w:left="142" w:right="140"/>
        <w:jc w:val="both"/>
        <w:rPr>
          <w:rFonts w:ascii="Arial" w:eastAsia="Arial" w:hAnsi="Arial" w:cs="Arial"/>
          <w:i/>
          <w:sz w:val="22"/>
          <w:szCs w:val="22"/>
        </w:rPr>
      </w:pPr>
      <w:r>
        <w:rPr>
          <w:rFonts w:ascii="Arial" w:eastAsia="Arial" w:hAnsi="Arial" w:cs="Arial"/>
          <w:i/>
          <w:sz w:val="22"/>
          <w:szCs w:val="22"/>
        </w:rPr>
        <w:t>Con ello se busca ampliar el alcance del Laboratorio de Ensayos de Aptitud para la mejora en la fiscalización de su red de laboratorios autorizada</w:t>
      </w:r>
    </w:p>
    <w:p w:rsidR="003416EF" w:rsidRDefault="003416EF">
      <w:pPr>
        <w:jc w:val="both"/>
        <w:rPr>
          <w:rFonts w:ascii="Arial" w:eastAsia="Arial" w:hAnsi="Arial" w:cs="Arial"/>
          <w:sz w:val="10"/>
          <w:szCs w:val="10"/>
        </w:rPr>
      </w:pPr>
    </w:p>
    <w:p w:rsidR="003416EF" w:rsidRDefault="00825BC7">
      <w:pPr>
        <w:jc w:val="both"/>
        <w:rPr>
          <w:rFonts w:ascii="Arial" w:eastAsia="Arial" w:hAnsi="Arial" w:cs="Arial"/>
          <w:sz w:val="22"/>
          <w:szCs w:val="22"/>
        </w:rPr>
      </w:pPr>
      <w:r>
        <w:rPr>
          <w:rFonts w:ascii="Arial" w:eastAsia="Arial" w:hAnsi="Arial" w:cs="Arial"/>
          <w:sz w:val="22"/>
          <w:szCs w:val="22"/>
        </w:rPr>
        <w:t>El Ministerio de la Producción (Produce), a través del Organismo Nacional de Sanidad Pesquera (Sanipes), informa que un grupo de científicos de su Laboratorio de Ensayos de Aptitud actualizó conocimientos en Italia, que servirán para poder implementar nuevas Pruebas Interlaboratorios microbiológicas para una mejor fiscalización a su red de laboratorios.</w:t>
      </w:r>
    </w:p>
    <w:p w:rsidR="003416EF" w:rsidRDefault="003416EF">
      <w:pPr>
        <w:jc w:val="both"/>
        <w:rPr>
          <w:rFonts w:ascii="Arial" w:eastAsia="Arial" w:hAnsi="Arial" w:cs="Arial"/>
          <w:sz w:val="10"/>
          <w:szCs w:val="10"/>
        </w:rPr>
      </w:pPr>
    </w:p>
    <w:p w:rsidR="003416EF" w:rsidRDefault="00825BC7">
      <w:pPr>
        <w:jc w:val="both"/>
        <w:rPr>
          <w:rFonts w:ascii="Arial" w:eastAsia="Arial" w:hAnsi="Arial" w:cs="Arial"/>
          <w:sz w:val="22"/>
          <w:szCs w:val="22"/>
        </w:rPr>
      </w:pPr>
      <w:r>
        <w:rPr>
          <w:rFonts w:ascii="Arial" w:eastAsia="Arial" w:hAnsi="Arial" w:cs="Arial"/>
          <w:sz w:val="22"/>
          <w:szCs w:val="22"/>
        </w:rPr>
        <w:t xml:space="preserve">La visita tecnológica fue realizada al Laboratorio de Referencia internacional del </w:t>
      </w:r>
      <w:r w:rsidR="008D5527" w:rsidRPr="008D5527">
        <w:rPr>
          <w:rFonts w:ascii="Arial" w:eastAsia="Arial" w:hAnsi="Arial" w:cs="Arial"/>
          <w:i/>
          <w:sz w:val="22"/>
          <w:szCs w:val="22"/>
        </w:rPr>
        <w:t>E.c</w:t>
      </w:r>
      <w:bookmarkStart w:id="1" w:name="_GoBack"/>
      <w:bookmarkEnd w:id="1"/>
      <w:r w:rsidR="008D5527" w:rsidRPr="008D5527">
        <w:rPr>
          <w:rFonts w:ascii="Arial" w:eastAsia="Arial" w:hAnsi="Arial" w:cs="Arial"/>
          <w:i/>
          <w:sz w:val="22"/>
          <w:szCs w:val="22"/>
        </w:rPr>
        <w:t>oli</w:t>
      </w:r>
      <w:r w:rsidR="008D5527">
        <w:rPr>
          <w:rFonts w:ascii="Arial" w:eastAsia="Arial" w:hAnsi="Arial" w:cs="Arial"/>
          <w:sz w:val="22"/>
          <w:szCs w:val="22"/>
        </w:rPr>
        <w:t xml:space="preserve"> y Parásitos del </w:t>
      </w:r>
      <w:r>
        <w:rPr>
          <w:rFonts w:ascii="Arial" w:eastAsia="Arial" w:hAnsi="Arial" w:cs="Arial"/>
          <w:sz w:val="22"/>
          <w:szCs w:val="22"/>
        </w:rPr>
        <w:t>Istituto Superiore di Sanità (ISS), de la Unión Europea, donde obtuvieron conocimientos en las metodologías, equipamiento e instalaciones que son usadas por este ente internacional de nivel mundial y con basta experiencia en dicha actividad.</w:t>
      </w:r>
    </w:p>
    <w:p w:rsidR="003416EF" w:rsidRDefault="003416EF">
      <w:pPr>
        <w:jc w:val="both"/>
        <w:rPr>
          <w:rFonts w:ascii="Arial" w:eastAsia="Arial" w:hAnsi="Arial" w:cs="Arial"/>
          <w:sz w:val="10"/>
          <w:szCs w:val="10"/>
        </w:rPr>
      </w:pPr>
    </w:p>
    <w:p w:rsidR="003416EF" w:rsidRDefault="00825BC7">
      <w:pPr>
        <w:jc w:val="both"/>
        <w:rPr>
          <w:rFonts w:ascii="Arial" w:eastAsia="Arial" w:hAnsi="Arial" w:cs="Arial"/>
          <w:sz w:val="22"/>
          <w:szCs w:val="22"/>
          <w:highlight w:val="white"/>
        </w:rPr>
      </w:pPr>
      <w:r>
        <w:rPr>
          <w:rFonts w:ascii="Arial" w:eastAsia="Arial" w:hAnsi="Arial" w:cs="Arial"/>
          <w:sz w:val="22"/>
          <w:szCs w:val="22"/>
        </w:rPr>
        <w:t xml:space="preserve">Los especialistas de Sanipes pudieron recabar información sobre lineamientos, </w:t>
      </w:r>
      <w:r>
        <w:rPr>
          <w:rFonts w:ascii="Arial" w:eastAsia="Arial" w:hAnsi="Arial" w:cs="Arial"/>
          <w:sz w:val="22"/>
          <w:szCs w:val="22"/>
          <w:highlight w:val="white"/>
        </w:rPr>
        <w:t xml:space="preserve">protocolos de trabajo, cumplimiento de directrices, cumplimiento de requisitos de las normas </w:t>
      </w:r>
      <w:r>
        <w:rPr>
          <w:rFonts w:ascii="Arial" w:eastAsia="Arial" w:hAnsi="Arial" w:cs="Arial"/>
          <w:sz w:val="22"/>
          <w:szCs w:val="22"/>
        </w:rPr>
        <w:t xml:space="preserve">y transferencia tecnológica necesaria para nuevos protocolos de ensayos de aptitud; además de constatar la tecnología de vanguardia usada y su posible implementación para los fines de la institución como autoridad sanitaria. </w:t>
      </w:r>
    </w:p>
    <w:p w:rsidR="003416EF" w:rsidRDefault="003416EF">
      <w:pPr>
        <w:jc w:val="both"/>
        <w:rPr>
          <w:rFonts w:ascii="Arial" w:eastAsia="Arial" w:hAnsi="Arial" w:cs="Arial"/>
          <w:sz w:val="10"/>
          <w:szCs w:val="10"/>
        </w:rPr>
      </w:pPr>
    </w:p>
    <w:p w:rsidR="003416EF" w:rsidRDefault="00825BC7">
      <w:pPr>
        <w:jc w:val="both"/>
        <w:rPr>
          <w:rFonts w:ascii="Arial" w:eastAsia="Arial" w:hAnsi="Arial" w:cs="Arial"/>
          <w:sz w:val="22"/>
          <w:szCs w:val="22"/>
        </w:rPr>
      </w:pPr>
      <w:r>
        <w:rPr>
          <w:rFonts w:ascii="Arial" w:eastAsia="Arial" w:hAnsi="Arial" w:cs="Arial"/>
          <w:sz w:val="22"/>
          <w:szCs w:val="22"/>
        </w:rPr>
        <w:t xml:space="preserve">Es necesario resaltar, que Sanipes a través de su Laboratorio de Ensayos de Aptitud, tiene el objetivo próximamente, de seguir ampliando su alcance de Acreditación en la Norma ISO/IEC 17043:2010 (Único en Perú y tercero en Sudamérica), </w:t>
      </w:r>
      <w:r w:rsidR="008D5527">
        <w:rPr>
          <w:rFonts w:ascii="Arial" w:eastAsia="Arial" w:hAnsi="Arial" w:cs="Arial"/>
          <w:sz w:val="22"/>
          <w:szCs w:val="22"/>
        </w:rPr>
        <w:t>y</w:t>
      </w:r>
      <w:r>
        <w:rPr>
          <w:rFonts w:ascii="Arial" w:eastAsia="Arial" w:hAnsi="Arial" w:cs="Arial"/>
          <w:sz w:val="22"/>
          <w:szCs w:val="22"/>
        </w:rPr>
        <w:t xml:space="preserve"> realizar nuevas pruebas Interlaboratorios en ensayos microbiol</w:t>
      </w:r>
      <w:r w:rsidR="008D5527">
        <w:rPr>
          <w:rFonts w:ascii="Arial" w:eastAsia="Arial" w:hAnsi="Arial" w:cs="Arial"/>
          <w:sz w:val="22"/>
          <w:szCs w:val="22"/>
        </w:rPr>
        <w:t>ó</w:t>
      </w:r>
      <w:r>
        <w:rPr>
          <w:rFonts w:ascii="Arial" w:eastAsia="Arial" w:hAnsi="Arial" w:cs="Arial"/>
          <w:sz w:val="22"/>
          <w:szCs w:val="22"/>
        </w:rPr>
        <w:t>g</w:t>
      </w:r>
      <w:r w:rsidR="008D5527">
        <w:rPr>
          <w:rFonts w:ascii="Arial" w:eastAsia="Arial" w:hAnsi="Arial" w:cs="Arial"/>
          <w:sz w:val="22"/>
          <w:szCs w:val="22"/>
        </w:rPr>
        <w:t>icos</w:t>
      </w:r>
      <w:r>
        <w:rPr>
          <w:rFonts w:ascii="Arial" w:eastAsia="Arial" w:hAnsi="Arial" w:cs="Arial"/>
          <w:sz w:val="22"/>
          <w:szCs w:val="22"/>
        </w:rPr>
        <w:t xml:space="preserve"> cualitativ</w:t>
      </w:r>
      <w:r w:rsidR="008D5527">
        <w:rPr>
          <w:rFonts w:ascii="Arial" w:eastAsia="Arial" w:hAnsi="Arial" w:cs="Arial"/>
          <w:sz w:val="22"/>
          <w:szCs w:val="22"/>
        </w:rPr>
        <w:t>o</w:t>
      </w:r>
      <w:r>
        <w:rPr>
          <w:rFonts w:ascii="Arial" w:eastAsia="Arial" w:hAnsi="Arial" w:cs="Arial"/>
          <w:sz w:val="22"/>
          <w:szCs w:val="22"/>
        </w:rPr>
        <w:t xml:space="preserve">s como </w:t>
      </w:r>
      <w:r w:rsidRPr="008D5527">
        <w:rPr>
          <w:rFonts w:ascii="Arial" w:eastAsia="Arial" w:hAnsi="Arial" w:cs="Arial"/>
          <w:sz w:val="22"/>
          <w:szCs w:val="22"/>
        </w:rPr>
        <w:t xml:space="preserve">detección de </w:t>
      </w:r>
      <w:r w:rsidRPr="008D5527">
        <w:rPr>
          <w:rFonts w:ascii="Arial" w:eastAsia="Arial" w:hAnsi="Arial" w:cs="Arial"/>
          <w:i/>
          <w:sz w:val="22"/>
          <w:szCs w:val="22"/>
        </w:rPr>
        <w:t>Listeria monocytogenes</w:t>
      </w:r>
      <w:r w:rsidRPr="008D5527">
        <w:rPr>
          <w:rFonts w:ascii="Arial" w:eastAsia="Arial" w:hAnsi="Arial" w:cs="Arial"/>
          <w:sz w:val="22"/>
          <w:szCs w:val="22"/>
        </w:rPr>
        <w:t xml:space="preserve"> y detección de </w:t>
      </w:r>
      <w:r w:rsidRPr="008D5527">
        <w:rPr>
          <w:rFonts w:ascii="Arial" w:eastAsia="Arial" w:hAnsi="Arial" w:cs="Arial"/>
          <w:i/>
          <w:sz w:val="22"/>
          <w:szCs w:val="22"/>
        </w:rPr>
        <w:t>Shigela</w:t>
      </w:r>
      <w:r w:rsidRPr="008D5527">
        <w:rPr>
          <w:rFonts w:ascii="Arial" w:eastAsia="Arial" w:hAnsi="Arial" w:cs="Arial"/>
          <w:sz w:val="22"/>
          <w:szCs w:val="22"/>
        </w:rPr>
        <w:t xml:space="preserve"> spp.</w:t>
      </w:r>
    </w:p>
    <w:p w:rsidR="003416EF" w:rsidRDefault="003416EF">
      <w:pPr>
        <w:jc w:val="both"/>
        <w:rPr>
          <w:rFonts w:ascii="Arial" w:eastAsia="Arial" w:hAnsi="Arial" w:cs="Arial"/>
          <w:sz w:val="10"/>
          <w:szCs w:val="10"/>
        </w:rPr>
      </w:pPr>
    </w:p>
    <w:p w:rsidR="003416EF" w:rsidRDefault="00825BC7">
      <w:pPr>
        <w:jc w:val="both"/>
        <w:rPr>
          <w:rFonts w:ascii="Arial" w:eastAsia="Arial" w:hAnsi="Arial" w:cs="Arial"/>
          <w:sz w:val="20"/>
          <w:szCs w:val="20"/>
        </w:rPr>
      </w:pPr>
      <w:r>
        <w:rPr>
          <w:rFonts w:ascii="Arial" w:eastAsia="Arial" w:hAnsi="Arial" w:cs="Arial"/>
          <w:sz w:val="22"/>
          <w:szCs w:val="22"/>
          <w:highlight w:val="white"/>
        </w:rPr>
        <w:t xml:space="preserve">Con todo esto, se optimizará la </w:t>
      </w:r>
      <w:r>
        <w:rPr>
          <w:rFonts w:ascii="Arial" w:eastAsia="Arial" w:hAnsi="Arial" w:cs="Arial"/>
          <w:sz w:val="22"/>
          <w:szCs w:val="22"/>
        </w:rPr>
        <w:t>evaluación técnica del desempeño de los laboratorios de ensayo autorizados por Sanipes que brindan servicios vinculados y complementarios al sector pesca y acuicultura.</w:t>
      </w:r>
    </w:p>
    <w:p w:rsidR="003416EF" w:rsidRDefault="003416EF">
      <w:pPr>
        <w:jc w:val="both"/>
        <w:rPr>
          <w:rFonts w:ascii="Arial" w:eastAsia="Arial" w:hAnsi="Arial" w:cs="Arial"/>
          <w:sz w:val="10"/>
          <w:szCs w:val="10"/>
          <w:highlight w:val="white"/>
        </w:rPr>
      </w:pPr>
    </w:p>
    <w:p w:rsidR="003416EF" w:rsidRDefault="00825BC7">
      <w:pPr>
        <w:jc w:val="both"/>
        <w:rPr>
          <w:rFonts w:ascii="Arial" w:eastAsia="Arial" w:hAnsi="Arial" w:cs="Arial"/>
          <w:b/>
        </w:rPr>
      </w:pPr>
      <w:r>
        <w:rPr>
          <w:rFonts w:ascii="Arial" w:eastAsia="Arial" w:hAnsi="Arial" w:cs="Arial"/>
          <w:b/>
        </w:rPr>
        <w:t>Referencia a nivel mundial</w:t>
      </w:r>
    </w:p>
    <w:p w:rsidR="003416EF" w:rsidRDefault="00825BC7">
      <w:pPr>
        <w:jc w:val="both"/>
        <w:rPr>
          <w:rFonts w:ascii="Arial" w:eastAsia="Arial" w:hAnsi="Arial" w:cs="Arial"/>
          <w:sz w:val="22"/>
          <w:szCs w:val="22"/>
        </w:rPr>
      </w:pPr>
      <w:r>
        <w:rPr>
          <w:rFonts w:ascii="Arial" w:eastAsia="Arial" w:hAnsi="Arial" w:cs="Arial"/>
          <w:sz w:val="22"/>
          <w:szCs w:val="22"/>
        </w:rPr>
        <w:t>Actualmente, el Istituto Superiore di Sanità (ISS) es el principal centro de investigación, referencia, control y consultoría técnico-científica en el campo de la salud pública en Italia, dividido en 6 departamentos, 16 centros nacionales, 2 centros de referencia y 5 servicios técnico-científicos, abarcando todo el espectro de la protección y la salud humana.</w:t>
      </w:r>
    </w:p>
    <w:p w:rsidR="003416EF" w:rsidRDefault="003416EF">
      <w:pPr>
        <w:jc w:val="both"/>
        <w:rPr>
          <w:rFonts w:ascii="Arial" w:eastAsia="Arial" w:hAnsi="Arial" w:cs="Arial"/>
          <w:sz w:val="10"/>
          <w:szCs w:val="10"/>
          <w:highlight w:val="white"/>
        </w:rPr>
      </w:pPr>
    </w:p>
    <w:p w:rsidR="003416EF" w:rsidRDefault="00825BC7">
      <w:pPr>
        <w:jc w:val="both"/>
        <w:rPr>
          <w:rFonts w:ascii="Arial" w:eastAsia="Arial" w:hAnsi="Arial" w:cs="Arial"/>
          <w:sz w:val="22"/>
          <w:szCs w:val="22"/>
        </w:rPr>
      </w:pPr>
      <w:r>
        <w:rPr>
          <w:rFonts w:ascii="Arial" w:eastAsia="Arial" w:hAnsi="Arial" w:cs="Arial"/>
          <w:sz w:val="22"/>
          <w:szCs w:val="22"/>
          <w:highlight w:val="white"/>
        </w:rPr>
        <w:t xml:space="preserve">La gestión realizada en la ciudad de Roma, se enmarca en el desarrollo del </w:t>
      </w:r>
      <w:r>
        <w:rPr>
          <w:rFonts w:ascii="Arial" w:eastAsia="Arial" w:hAnsi="Arial" w:cs="Arial"/>
          <w:sz w:val="22"/>
          <w:szCs w:val="22"/>
        </w:rPr>
        <w:t>subproyecto PNIPA-ACU-SIADE-SANIPES-PP-014: “Implementación de Pruebas Interlaboratorio en Ensayos Microbiológicos cualitativos, dirigidos a potenciar la fiscalización sanitaria que SANIPES realiza a su red de laboratorios”.</w:t>
      </w:r>
    </w:p>
    <w:p w:rsidR="003416EF" w:rsidRDefault="003416EF">
      <w:pPr>
        <w:jc w:val="both"/>
        <w:rPr>
          <w:rFonts w:ascii="Arial" w:eastAsia="Arial" w:hAnsi="Arial" w:cs="Arial"/>
          <w:sz w:val="22"/>
          <w:szCs w:val="22"/>
          <w:highlight w:val="white"/>
        </w:rPr>
      </w:pPr>
    </w:p>
    <w:p w:rsidR="003416EF" w:rsidRPr="0006613A" w:rsidRDefault="003416EF">
      <w:pPr>
        <w:jc w:val="both"/>
        <w:rPr>
          <w:rFonts w:ascii="Arial" w:eastAsia="Arial" w:hAnsi="Arial" w:cs="Arial"/>
          <w:sz w:val="10"/>
          <w:szCs w:val="10"/>
          <w:highlight w:val="white"/>
        </w:rPr>
      </w:pPr>
    </w:p>
    <w:p w:rsidR="003416EF" w:rsidRDefault="00825BC7">
      <w:pPr>
        <w:jc w:val="both"/>
        <w:rPr>
          <w:rFonts w:ascii="Arial" w:eastAsia="Arial" w:hAnsi="Arial" w:cs="Arial"/>
          <w:sz w:val="22"/>
          <w:szCs w:val="22"/>
          <w:highlight w:val="white"/>
        </w:rPr>
      </w:pPr>
      <w:r>
        <w:rPr>
          <w:rFonts w:ascii="Arial" w:eastAsia="Arial" w:hAnsi="Arial" w:cs="Arial"/>
          <w:sz w:val="22"/>
          <w:szCs w:val="22"/>
          <w:highlight w:val="white"/>
        </w:rPr>
        <w:t>Agradecemos su difusión.</w:t>
      </w:r>
    </w:p>
    <w:sectPr w:rsidR="003416EF">
      <w:headerReference w:type="default" r:id="rId7"/>
      <w:footerReference w:type="default" r:id="rId8"/>
      <w:pgSz w:w="11906" w:h="16838"/>
      <w:pgMar w:top="1701" w:right="1701" w:bottom="1418" w:left="170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CF7" w:rsidRDefault="00B60CF7">
      <w:r>
        <w:separator/>
      </w:r>
    </w:p>
  </w:endnote>
  <w:endnote w:type="continuationSeparator" w:id="0">
    <w:p w:rsidR="00B60CF7" w:rsidRDefault="00B6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EF" w:rsidRDefault="00825BC7">
    <w:pPr>
      <w:rPr>
        <w:rFonts w:ascii="Arial" w:eastAsia="Arial" w:hAnsi="Arial" w:cs="Arial"/>
        <w:sz w:val="16"/>
        <w:szCs w:val="16"/>
      </w:rPr>
    </w:pPr>
    <w:r>
      <w:rPr>
        <w:noProof/>
      </w:rPr>
      <w:drawing>
        <wp:anchor distT="0" distB="0" distL="0" distR="0" simplePos="0" relativeHeight="251660288" behindDoc="1" locked="0" layoutInCell="1" hidden="0" allowOverlap="1">
          <wp:simplePos x="0" y="0"/>
          <wp:positionH relativeFrom="column">
            <wp:posOffset>3491865</wp:posOffset>
          </wp:positionH>
          <wp:positionV relativeFrom="paragraph">
            <wp:posOffset>-327</wp:posOffset>
          </wp:positionV>
          <wp:extent cx="1193800" cy="770255"/>
          <wp:effectExtent l="0" t="0" r="0" b="0"/>
          <wp:wrapNone/>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93800" cy="770255"/>
                  </a:xfrm>
                  <a:prstGeom prst="rect">
                    <a:avLst/>
                  </a:prstGeom>
                  <a:ln/>
                </pic:spPr>
              </pic:pic>
            </a:graphicData>
          </a:graphic>
        </wp:anchor>
      </w:drawing>
    </w:r>
    <w:r>
      <w:rPr>
        <w:noProof/>
      </w:rPr>
      <w:drawing>
        <wp:anchor distT="0" distB="0" distL="0" distR="0" simplePos="0" relativeHeight="251661312" behindDoc="1" locked="0" layoutInCell="1" hidden="0" allowOverlap="1">
          <wp:simplePos x="0" y="0"/>
          <wp:positionH relativeFrom="column">
            <wp:posOffset>4832985</wp:posOffset>
          </wp:positionH>
          <wp:positionV relativeFrom="paragraph">
            <wp:posOffset>104444</wp:posOffset>
          </wp:positionV>
          <wp:extent cx="1196340" cy="549275"/>
          <wp:effectExtent l="0" t="0" r="0" b="0"/>
          <wp:wrapNone/>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196340" cy="549275"/>
                  </a:xfrm>
                  <a:prstGeom prst="rect">
                    <a:avLst/>
                  </a:prstGeom>
                  <a:ln/>
                </pic:spPr>
              </pic:pic>
            </a:graphicData>
          </a:graphic>
        </wp:anchor>
      </w:drawing>
    </w:r>
  </w:p>
  <w:p w:rsidR="003416EF" w:rsidRDefault="00825BC7">
    <w:pPr>
      <w:pBdr>
        <w:top w:val="nil"/>
        <w:left w:val="nil"/>
        <w:bottom w:val="nil"/>
        <w:right w:val="nil"/>
        <w:between w:val="nil"/>
      </w:pBdr>
      <w:tabs>
        <w:tab w:val="center" w:pos="4252"/>
        <w:tab w:val="right" w:pos="8504"/>
      </w:tabs>
      <w:ind w:left="-851"/>
      <w:rPr>
        <w:rFonts w:ascii="Arial" w:eastAsia="Arial" w:hAnsi="Arial" w:cs="Arial"/>
        <w:color w:val="000000"/>
        <w:sz w:val="16"/>
        <w:szCs w:val="16"/>
      </w:rPr>
    </w:pPr>
    <w:r>
      <w:rPr>
        <w:rFonts w:ascii="Arial" w:eastAsia="Arial" w:hAnsi="Arial" w:cs="Arial"/>
        <w:color w:val="000000"/>
        <w:sz w:val="16"/>
        <w:szCs w:val="16"/>
      </w:rPr>
      <w:t>Calle Amador Merino Reyna Nº 267 Piso 12 San Isidro - Lima</w:t>
    </w:r>
  </w:p>
  <w:p w:rsidR="003416EF" w:rsidRDefault="00825BC7">
    <w:pPr>
      <w:pBdr>
        <w:top w:val="nil"/>
        <w:left w:val="nil"/>
        <w:bottom w:val="nil"/>
        <w:right w:val="nil"/>
        <w:between w:val="nil"/>
      </w:pBdr>
      <w:tabs>
        <w:tab w:val="center" w:pos="4252"/>
        <w:tab w:val="right" w:pos="8504"/>
      </w:tabs>
      <w:ind w:left="-851"/>
      <w:rPr>
        <w:rFonts w:ascii="Arial" w:eastAsia="Arial" w:hAnsi="Arial" w:cs="Arial"/>
        <w:sz w:val="16"/>
        <w:szCs w:val="16"/>
      </w:rPr>
    </w:pPr>
    <w:r>
      <w:rPr>
        <w:rFonts w:ascii="Arial" w:eastAsia="Arial" w:hAnsi="Arial" w:cs="Arial"/>
        <w:color w:val="000000"/>
        <w:sz w:val="16"/>
        <w:szCs w:val="16"/>
      </w:rPr>
      <w:t>Av. Carretera a Ventanilla km 5.2 - Callao</w:t>
    </w:r>
    <w:r>
      <w:rPr>
        <w:rFonts w:ascii="Arial" w:eastAsia="Arial" w:hAnsi="Arial" w:cs="Arial"/>
        <w:color w:val="000000"/>
        <w:sz w:val="16"/>
        <w:szCs w:val="16"/>
      </w:rPr>
      <w:br/>
      <w:t>www.gob.pe/sanipes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CF7" w:rsidRDefault="00B60CF7">
      <w:r>
        <w:separator/>
      </w:r>
    </w:p>
  </w:footnote>
  <w:footnote w:type="continuationSeparator" w:id="0">
    <w:p w:rsidR="00B60CF7" w:rsidRDefault="00B60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EF" w:rsidRDefault="00825BC7">
    <w:pPr>
      <w:pBdr>
        <w:top w:val="nil"/>
        <w:left w:val="nil"/>
        <w:bottom w:val="nil"/>
        <w:right w:val="nil"/>
        <w:between w:val="nil"/>
      </w:pBdr>
      <w:tabs>
        <w:tab w:val="center" w:pos="4252"/>
        <w:tab w:val="right" w:pos="8504"/>
      </w:tabs>
      <w:rPr>
        <w:rFonts w:ascii="Arial" w:eastAsia="Arial" w:hAnsi="Arial" w:cs="Arial"/>
        <w:color w:val="000000"/>
        <w:sz w:val="16"/>
        <w:szCs w:val="16"/>
      </w:rPr>
    </w:pPr>
    <w:r>
      <w:rPr>
        <w:noProof/>
      </w:rPr>
      <w:drawing>
        <wp:anchor distT="0" distB="0" distL="114300" distR="114300" simplePos="0" relativeHeight="251658240" behindDoc="0" locked="0" layoutInCell="1" hidden="0" allowOverlap="1">
          <wp:simplePos x="0" y="0"/>
          <wp:positionH relativeFrom="column">
            <wp:posOffset>-427047</wp:posOffset>
          </wp:positionH>
          <wp:positionV relativeFrom="paragraph">
            <wp:posOffset>11430</wp:posOffset>
          </wp:positionV>
          <wp:extent cx="2171700" cy="441960"/>
          <wp:effectExtent l="0" t="0" r="0" b="0"/>
          <wp:wrapNone/>
          <wp:docPr id="31" name="image2.png" descr="LOGO PRODUCE 2016 - PARA FONDO A COLOR"/>
          <wp:cNvGraphicFramePr/>
          <a:graphic xmlns:a="http://schemas.openxmlformats.org/drawingml/2006/main">
            <a:graphicData uri="http://schemas.openxmlformats.org/drawingml/2006/picture">
              <pic:pic xmlns:pic="http://schemas.openxmlformats.org/drawingml/2006/picture">
                <pic:nvPicPr>
                  <pic:cNvPr id="0" name="image2.png" descr="LOGO PRODUCE 2016 - PARA FONDO A COLOR"/>
                  <pic:cNvPicPr preferRelativeResize="0"/>
                </pic:nvPicPr>
                <pic:blipFill>
                  <a:blip r:embed="rId1"/>
                  <a:srcRect/>
                  <a:stretch>
                    <a:fillRect/>
                  </a:stretch>
                </pic:blipFill>
                <pic:spPr>
                  <a:xfrm>
                    <a:off x="0" y="0"/>
                    <a:ext cx="2171700" cy="44196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4200525</wp:posOffset>
          </wp:positionH>
          <wp:positionV relativeFrom="paragraph">
            <wp:posOffset>30480</wp:posOffset>
          </wp:positionV>
          <wp:extent cx="1592580" cy="527050"/>
          <wp:effectExtent l="0" t="0" r="0" b="0"/>
          <wp:wrapNone/>
          <wp:docPr id="32" name="image1.png" descr="logo_sanipes-horizontal-01"/>
          <wp:cNvGraphicFramePr/>
          <a:graphic xmlns:a="http://schemas.openxmlformats.org/drawingml/2006/main">
            <a:graphicData uri="http://schemas.openxmlformats.org/drawingml/2006/picture">
              <pic:pic xmlns:pic="http://schemas.openxmlformats.org/drawingml/2006/picture">
                <pic:nvPicPr>
                  <pic:cNvPr id="0" name="image1.png" descr="logo_sanipes-horizontal-01"/>
                  <pic:cNvPicPr preferRelativeResize="0"/>
                </pic:nvPicPr>
                <pic:blipFill>
                  <a:blip r:embed="rId2"/>
                  <a:srcRect/>
                  <a:stretch>
                    <a:fillRect/>
                  </a:stretch>
                </pic:blipFill>
                <pic:spPr>
                  <a:xfrm>
                    <a:off x="0" y="0"/>
                    <a:ext cx="1592580" cy="527050"/>
                  </a:xfrm>
                  <a:prstGeom prst="rect">
                    <a:avLst/>
                  </a:prstGeom>
                  <a:ln/>
                </pic:spPr>
              </pic:pic>
            </a:graphicData>
          </a:graphic>
        </wp:anchor>
      </w:drawing>
    </w:r>
  </w:p>
  <w:p w:rsidR="003416EF" w:rsidRDefault="003416EF">
    <w:pPr>
      <w:pBdr>
        <w:top w:val="nil"/>
        <w:left w:val="nil"/>
        <w:bottom w:val="nil"/>
        <w:right w:val="nil"/>
        <w:between w:val="nil"/>
      </w:pBdr>
      <w:tabs>
        <w:tab w:val="center" w:pos="4252"/>
        <w:tab w:val="right" w:pos="8504"/>
      </w:tabs>
      <w:rPr>
        <w:rFonts w:ascii="Arial" w:eastAsia="Arial" w:hAnsi="Arial" w:cs="Arial"/>
        <w:color w:val="000000"/>
        <w:sz w:val="16"/>
        <w:szCs w:val="16"/>
      </w:rPr>
    </w:pPr>
  </w:p>
  <w:p w:rsidR="003416EF" w:rsidRDefault="003416EF">
    <w:pPr>
      <w:pBdr>
        <w:top w:val="nil"/>
        <w:left w:val="nil"/>
        <w:bottom w:val="nil"/>
        <w:right w:val="nil"/>
        <w:between w:val="nil"/>
      </w:pBdr>
      <w:tabs>
        <w:tab w:val="center" w:pos="4252"/>
        <w:tab w:val="right" w:pos="8504"/>
      </w:tabs>
      <w:rPr>
        <w:rFonts w:ascii="Arial" w:eastAsia="Arial" w:hAnsi="Arial" w:cs="Arial"/>
        <w:color w:val="000000"/>
        <w:sz w:val="16"/>
        <w:szCs w:val="16"/>
      </w:rPr>
    </w:pPr>
  </w:p>
  <w:p w:rsidR="003416EF" w:rsidRDefault="003416EF">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p w:rsidR="003416EF" w:rsidRDefault="003416EF">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p w:rsidR="003416EF" w:rsidRDefault="003416EF">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p w:rsidR="003416EF" w:rsidRDefault="00825BC7">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Pr>
        <w:rFonts w:ascii="Arial" w:eastAsia="Arial" w:hAnsi="Arial" w:cs="Arial"/>
        <w:color w:val="000000"/>
        <w:sz w:val="16"/>
        <w:szCs w:val="16"/>
      </w:rPr>
      <w:t>“Decenio de la Igualdad de Oportunidades para Mujeres y Hombres”</w:t>
    </w:r>
  </w:p>
  <w:p w:rsidR="003416EF" w:rsidRDefault="00825BC7">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Pr>
        <w:rFonts w:ascii="Arial" w:eastAsia="Arial" w:hAnsi="Arial" w:cs="Arial"/>
        <w:color w:val="000000"/>
        <w:sz w:val="16"/>
        <w:szCs w:val="16"/>
      </w:rPr>
      <w:t>“Año del Fortalecimiento de la Soberanía Nacional”</w:t>
    </w:r>
  </w:p>
  <w:p w:rsidR="003416EF" w:rsidRDefault="00825BC7">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Pr>
        <w:rFonts w:ascii="Arial" w:eastAsia="Arial" w:hAnsi="Arial" w:cs="Arial"/>
        <w:color w:val="000000"/>
        <w:sz w:val="16"/>
        <w:szCs w:val="16"/>
      </w:rPr>
      <w:t>“Año del Bicentenario del Congreso de la República del Perú”</w:t>
    </w:r>
  </w:p>
  <w:p w:rsidR="003416EF" w:rsidRDefault="003416EF">
    <w:pPr>
      <w:pBdr>
        <w:top w:val="nil"/>
        <w:left w:val="nil"/>
        <w:bottom w:val="nil"/>
        <w:right w:val="nil"/>
        <w:between w:val="nil"/>
      </w:pBdr>
      <w:tabs>
        <w:tab w:val="center" w:pos="4252"/>
        <w:tab w:val="right" w:pos="8504"/>
      </w:tabs>
      <w:jc w:val="center"/>
      <w:rPr>
        <w:rFonts w:ascii="Arial" w:eastAsia="Arial" w:hAnsi="Arial" w:cs="Arial"/>
        <w:color w:val="202124"/>
        <w:sz w:val="16"/>
        <w:szCs w:val="16"/>
        <w:highlight w:val="whit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EF"/>
    <w:rsid w:val="00050A6E"/>
    <w:rsid w:val="0006613A"/>
    <w:rsid w:val="000D2A85"/>
    <w:rsid w:val="003416EF"/>
    <w:rsid w:val="003F6B63"/>
    <w:rsid w:val="005802F6"/>
    <w:rsid w:val="00825BC7"/>
    <w:rsid w:val="008D460B"/>
    <w:rsid w:val="008D5527"/>
    <w:rsid w:val="00B60CF7"/>
    <w:rsid w:val="00EA644B"/>
    <w:rsid w:val="00ED79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docId w15:val="{2A6D62A4-DDD0-DF4E-B06A-9F1FD11D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BF6"/>
    <w:rPr>
      <w:lang w:eastAsia="es-ES"/>
    </w:rPr>
  </w:style>
  <w:style w:type="paragraph" w:styleId="Ttulo1">
    <w:name w:val="heading 1"/>
    <w:basedOn w:val="Normal"/>
    <w:link w:val="Ttulo1Car"/>
    <w:uiPriority w:val="9"/>
    <w:qFormat/>
    <w:rsid w:val="009B48DE"/>
    <w:pPr>
      <w:spacing w:before="100" w:beforeAutospacing="1" w:after="100" w:afterAutospacing="1"/>
      <w:outlineLvl w:val="0"/>
    </w:pPr>
    <w:rPr>
      <w:b/>
      <w:bCs/>
      <w:kern w:val="36"/>
      <w:sz w:val="48"/>
      <w:szCs w:val="48"/>
      <w:lang w:val="es-PE" w:eastAsia="es-PE"/>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1572"/>
    <w:pPr>
      <w:tabs>
        <w:tab w:val="center" w:pos="4252"/>
        <w:tab w:val="right" w:pos="8504"/>
      </w:tabs>
    </w:pPr>
  </w:style>
  <w:style w:type="character" w:customStyle="1" w:styleId="EncabezadoCar">
    <w:name w:val="Encabezado Car"/>
    <w:basedOn w:val="Fuentedeprrafopredeter"/>
    <w:link w:val="Encabezado"/>
    <w:uiPriority w:val="99"/>
    <w:rsid w:val="00BE1572"/>
  </w:style>
  <w:style w:type="paragraph" w:styleId="Piedepgina">
    <w:name w:val="footer"/>
    <w:basedOn w:val="Normal"/>
    <w:link w:val="PiedepginaCar"/>
    <w:uiPriority w:val="99"/>
    <w:unhideWhenUsed/>
    <w:rsid w:val="00BE1572"/>
    <w:pPr>
      <w:tabs>
        <w:tab w:val="center" w:pos="4252"/>
        <w:tab w:val="right" w:pos="8504"/>
      </w:tabs>
    </w:pPr>
  </w:style>
  <w:style w:type="character" w:customStyle="1" w:styleId="PiedepginaCar">
    <w:name w:val="Pie de página Car"/>
    <w:basedOn w:val="Fuentedeprrafopredeter"/>
    <w:link w:val="Piedepgina"/>
    <w:uiPriority w:val="99"/>
    <w:rsid w:val="00BE1572"/>
  </w:style>
  <w:style w:type="table" w:styleId="Tablaconcuadrcula">
    <w:name w:val="Table Grid"/>
    <w:basedOn w:val="Tablanormal"/>
    <w:uiPriority w:val="39"/>
    <w:rsid w:val="00BE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36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36F2"/>
    <w:rPr>
      <w:rFonts w:ascii="Segoe UI" w:hAnsi="Segoe UI" w:cs="Segoe UI"/>
      <w:sz w:val="18"/>
      <w:szCs w:val="18"/>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rsid w:val="001D77CA"/>
    <w:pPr>
      <w:ind w:left="720"/>
      <w:contextualSpacing/>
    </w:pPr>
  </w:style>
  <w:style w:type="paragraph" w:styleId="Sinespaciado">
    <w:name w:val="No Spacing"/>
    <w:link w:val="SinespaciadoCar"/>
    <w:uiPriority w:val="1"/>
    <w:qFormat/>
    <w:rsid w:val="006A5BF6"/>
    <w:rPr>
      <w:lang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6A5BF6"/>
  </w:style>
  <w:style w:type="character" w:customStyle="1" w:styleId="SinespaciadoCar">
    <w:name w:val="Sin espaciado Car"/>
    <w:basedOn w:val="Fuentedeprrafopredeter"/>
    <w:link w:val="Sinespaciado"/>
    <w:uiPriority w:val="1"/>
    <w:locked/>
    <w:rsid w:val="006A5BF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pPr>
      <w:spacing w:after="160"/>
    </w:pPr>
    <w:rPr>
      <w:rFonts w:ascii="Calibri" w:eastAsia="Calibri" w:hAnsi="Calibri" w:cs="Calibri"/>
      <w:color w:val="5A5A5A"/>
      <w:sz w:val="22"/>
      <w:szCs w:val="22"/>
    </w:rPr>
  </w:style>
  <w:style w:type="character" w:customStyle="1" w:styleId="SubttuloCar">
    <w:name w:val="Subtítulo Car"/>
    <w:basedOn w:val="Fuentedeprrafopredeter"/>
    <w:link w:val="Subttulo"/>
    <w:uiPriority w:val="11"/>
    <w:rsid w:val="00EB53D9"/>
    <w:rPr>
      <w:rFonts w:eastAsiaTheme="minorEastAsia"/>
      <w:color w:val="5A5A5A" w:themeColor="text1" w:themeTint="A5"/>
      <w:spacing w:val="15"/>
      <w:lang w:val="es-ES" w:eastAsia="es-ES"/>
    </w:rPr>
  </w:style>
  <w:style w:type="character" w:styleId="nfasissutil">
    <w:name w:val="Subtle Emphasis"/>
    <w:basedOn w:val="Fuentedeprrafopredeter"/>
    <w:uiPriority w:val="19"/>
    <w:qFormat/>
    <w:rsid w:val="00EB53D9"/>
    <w:rPr>
      <w:i/>
      <w:iCs/>
      <w:color w:val="404040" w:themeColor="text1" w:themeTint="BF"/>
    </w:rPr>
  </w:style>
  <w:style w:type="character" w:customStyle="1" w:styleId="Ttulo1Car">
    <w:name w:val="Título 1 Car"/>
    <w:basedOn w:val="Fuentedeprrafopredeter"/>
    <w:link w:val="Ttulo1"/>
    <w:uiPriority w:val="9"/>
    <w:rsid w:val="009B48DE"/>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unhideWhenUsed/>
    <w:rsid w:val="00F0297E"/>
    <w:pPr>
      <w:spacing w:before="100" w:beforeAutospacing="1" w:after="100" w:afterAutospacing="1"/>
    </w:pPr>
    <w:rPr>
      <w:lang w:val="es-PE" w:eastAsia="es-PE"/>
    </w:rPr>
  </w:style>
  <w:style w:type="character" w:styleId="Hipervnculo">
    <w:name w:val="Hyperlink"/>
    <w:basedOn w:val="Fuentedeprrafopredeter"/>
    <w:uiPriority w:val="99"/>
    <w:unhideWhenUsed/>
    <w:rsid w:val="00C41D75"/>
    <w:rPr>
      <w:color w:val="0000FF"/>
      <w:u w:val="single"/>
    </w:rPr>
  </w:style>
  <w:style w:type="character" w:styleId="Hipervnculovisitado">
    <w:name w:val="FollowedHyperlink"/>
    <w:basedOn w:val="Fuentedeprrafopredeter"/>
    <w:uiPriority w:val="99"/>
    <w:semiHidden/>
    <w:unhideWhenUsed/>
    <w:rsid w:val="006E4653"/>
    <w:rPr>
      <w:color w:val="954F72" w:themeColor="followedHyperlink"/>
      <w:u w:val="single"/>
    </w:rPr>
  </w:style>
  <w:style w:type="character" w:styleId="Mencinsinresolver">
    <w:name w:val="Unresolved Mention"/>
    <w:basedOn w:val="Fuentedeprrafopredeter"/>
    <w:uiPriority w:val="99"/>
    <w:semiHidden/>
    <w:unhideWhenUsed/>
    <w:rsid w:val="006E4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EqSvShj1m/vdPkzolnn2d83Mg==">AMUW2mWZmbZZvxYB4QxdIGtprxD0vKdIdP03danPDzvztjnXsZHgugprtMi71cyIPJo5VozifDWusoISyKiIA5FZsExm0gKIo0gOgyG1WWCd5oKgVbqpSVt1al5kEE5f/j1UxGjyQLWr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412</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Diustin Paredes Milla</dc:creator>
  <cp:lastModifiedBy>Usuario de Microsoft Office</cp:lastModifiedBy>
  <cp:revision>14</cp:revision>
  <dcterms:created xsi:type="dcterms:W3CDTF">2022-07-03T18:29:00Z</dcterms:created>
  <dcterms:modified xsi:type="dcterms:W3CDTF">2022-08-18T17:46:00Z</dcterms:modified>
</cp:coreProperties>
</file>