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Nota de Prensa</w:t>
      </w:r>
    </w:p>
    <w:p w:rsidR="00000000" w:rsidDel="00000000" w:rsidP="00000000" w:rsidRDefault="00000000" w:rsidRPr="00000000" w14:paraId="00000002">
      <w:pPr>
        <w:jc w:val="center"/>
        <w:rPr>
          <w:rFonts w:ascii="Arial" w:cs="Arial" w:eastAsia="Arial" w:hAnsi="Arial"/>
          <w:b w:val="1"/>
          <w:sz w:val="10"/>
          <w:szCs w:val="10"/>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2"/>
          <w:szCs w:val="32"/>
        </w:rPr>
      </w:pPr>
      <w:bookmarkStart w:colFirst="0" w:colLast="0" w:name="_heading=h.1fob9te" w:id="0"/>
      <w:bookmarkEnd w:id="0"/>
      <w:r w:rsidDel="00000000" w:rsidR="00000000" w:rsidRPr="00000000">
        <w:rPr>
          <w:rFonts w:ascii="Arial" w:cs="Arial" w:eastAsia="Arial" w:hAnsi="Arial"/>
          <w:b w:val="1"/>
          <w:sz w:val="32"/>
          <w:szCs w:val="32"/>
          <w:rtl w:val="0"/>
        </w:rPr>
        <w:t xml:space="preserve">Laboratorios de Sanipes sede Callao amplían y actualizan el alcance de sus metodologías de análisis</w:t>
      </w:r>
    </w:p>
    <w:p w:rsidR="00000000" w:rsidDel="00000000" w:rsidP="00000000" w:rsidRDefault="00000000" w:rsidRPr="00000000" w14:paraId="00000004">
      <w:pPr>
        <w:ind w:left="142" w:right="14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Los procesos de mejora continua se realizan con el cumplimiento de los lineamientos del ente rector peruano INACAL-DA</w:t>
      </w:r>
    </w:p>
    <w:p w:rsidR="00000000" w:rsidDel="00000000" w:rsidP="00000000" w:rsidRDefault="00000000" w:rsidRPr="00000000" w14:paraId="0000000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Ministerio de la Producción (Produce), a través del Organismo Nacional de Sanidad Pesquera (Sanipes), informa que sus laboratorios sede Callao acreditados participaron y pasaron satisfactoriamente los procesos de “Ampliación de alcance” y de “Actualización de fondo”, lo que significa una mejora continua y el cumplimiento de lo establecido dentro de los lineamientos de la Dirección de Acreditación del Instituto Nacional de Calidad (INACAL-DA), ente acreditador del Perú.  </w:t>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ello, el Laboratorio de Bioensayo y Microscopía (LBM) acreditó un método de ensayo más, “Detección y recuento de huevos de helmintos”, que se ejecutará en las matrices de agua potable y hielo; también, el Laboratorio de Microbiología y Biología Molecular (LMB) acreditó una matriz más en el alcance del método de ensayo “Detección de </w:t>
      </w:r>
      <w:r w:rsidDel="00000000" w:rsidR="00000000" w:rsidRPr="00000000">
        <w:rPr>
          <w:rFonts w:ascii="Arial" w:cs="Arial" w:eastAsia="Arial" w:hAnsi="Arial"/>
          <w:i w:val="1"/>
          <w:sz w:val="20"/>
          <w:szCs w:val="20"/>
          <w:rtl w:val="0"/>
        </w:rPr>
        <w:t xml:space="preserve">Vibrio cholerae”</w:t>
      </w:r>
      <w:r w:rsidDel="00000000" w:rsidR="00000000" w:rsidRPr="00000000">
        <w:rPr>
          <w:rFonts w:ascii="Arial" w:cs="Arial" w:eastAsia="Arial" w:hAnsi="Arial"/>
          <w:sz w:val="20"/>
          <w:szCs w:val="20"/>
          <w:rtl w:val="0"/>
        </w:rPr>
        <w:t xml:space="preserve">, esta matriz es la de pescados, tanto para sus presentaciones de frescos, refrigerados y congelados.</w:t>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este objetivo alcanzado, se puede brindar una mayor diversidad de metodologías acreditadas en diferentes matrices, lo cual refuerza el compromiso con la mejora continua del Sistema de Gestión de Calidad. </w:t>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Asimismo, el ser un laboratorio acreditado bajo los lineamientos de la NTP-ISO/IEC 17025:2017 y de las directrices del INACAL-DA, implica responsabilidad y una constante vigilancia de la vigencia de las metodologías acreditadas (conforme a lo establecido en el DA-acr-01P “Procedimiento General de Acreditación”).</w:t>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bookmarkStart w:colFirst="0" w:colLast="0" w:name="_heading=h.gjdgxs" w:id="1"/>
      <w:bookmarkEnd w:id="1"/>
      <w:r w:rsidDel="00000000" w:rsidR="00000000" w:rsidRPr="00000000">
        <w:rPr>
          <w:rFonts w:ascii="Arial" w:cs="Arial" w:eastAsia="Arial" w:hAnsi="Arial"/>
          <w:sz w:val="20"/>
          <w:szCs w:val="20"/>
          <w:rtl w:val="0"/>
        </w:rPr>
        <w:t xml:space="preserve">En ese sentido, el Laboratorio de Microbiología y Biología Molecular (LMB) pasó satisfactoriamente el proceso de “Actualización de fondo” de la metodología “Enumeración de </w:t>
      </w:r>
      <w:r w:rsidDel="00000000" w:rsidR="00000000" w:rsidRPr="00000000">
        <w:rPr>
          <w:rFonts w:ascii="Arial" w:cs="Arial" w:eastAsia="Arial" w:hAnsi="Arial"/>
          <w:i w:val="1"/>
          <w:sz w:val="20"/>
          <w:szCs w:val="20"/>
          <w:rtl w:val="0"/>
        </w:rPr>
        <w:t xml:space="preserve">Staphylococcus</w:t>
      </w:r>
      <w:r w:rsidDel="00000000" w:rsidR="00000000" w:rsidRPr="00000000">
        <w:rPr>
          <w:rFonts w:ascii="Arial" w:cs="Arial" w:eastAsia="Arial" w:hAnsi="Arial"/>
          <w:sz w:val="20"/>
          <w:szCs w:val="20"/>
          <w:rtl w:val="0"/>
        </w:rPr>
        <w:t xml:space="preserve"> coagulasa positiva” (ISO 6888-1:2021) en las matrices de “Productos pesqueros refrigerados, congelados y procesados (moluscos bivalvos, cefalópodos, gasterópodos y crustáceos)”.</w:t>
      </w:r>
    </w:p>
    <w:p w:rsidR="00000000" w:rsidDel="00000000" w:rsidP="00000000" w:rsidRDefault="00000000" w:rsidRPr="00000000" w14:paraId="0000000F">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Los laboratorios de Sanipes sede Callao</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encuentran acreditados desde el 2015, y poseen infraestructura y equipamiento de última generación, preparados para obtener resultados confiables en el análisis de productos pesqueros y acuícolas destinados al Consumo Humano Directo (CHD), como pescados y mariscos frescos, congelados y procesados; y los de Consumo Humano Indirecto (CHI) como la harina y el aceite de pescado; además del análisis de agua potable, agua de mar y hielo.</w:t>
      </w:r>
    </w:p>
    <w:p w:rsidR="00000000" w:rsidDel="00000000" w:rsidP="00000000" w:rsidRDefault="00000000" w:rsidRPr="00000000" w14:paraId="00000012">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Son 18  métodos acreditados, distribuidos en 12 métodos microbiológicos y 1 método molecular en el Laboratorio de Microbiología y Biología Molecular; 1 método de bioensayo y 2 métodos de microscopía en el Laboratorio de Bioensayo y Microscopía; y 2 métodos instrumentales en el Laboratorio de Fisicoquímica.</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ensayos que se realizan, son parte de la labor de Sanipes de control oficial y supervisión de los productos que van a ser comercializados dentro y fuera del país, garantizando su inocuidad en resguardo de la salud pública.</w:t>
      </w:r>
    </w:p>
    <w:p w:rsidR="00000000" w:rsidDel="00000000" w:rsidP="00000000" w:rsidRDefault="00000000" w:rsidRPr="00000000" w14:paraId="00000016">
      <w:pPr>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Agradecemos su difusión.</w:t>
      </w:r>
    </w:p>
    <w:sectPr>
      <w:headerReference r:id="rId7" w:type="default"/>
      <w:footerReference r:id="rId8" w:type="default"/>
      <w:pgSz w:h="16838" w:w="11906" w:orient="portrait"/>
      <w:pgMar w:bottom="1418" w:top="1701" w:left="1701" w:right="1701"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rFonts w:ascii="Arial" w:cs="Arial" w:eastAsia="Arial" w:hAnsi="Arial"/>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3491865</wp:posOffset>
          </wp:positionH>
          <wp:positionV relativeFrom="paragraph">
            <wp:posOffset>-326</wp:posOffset>
          </wp:positionV>
          <wp:extent cx="1193800" cy="770255"/>
          <wp:effectExtent b="0" l="0" r="0" t="0"/>
          <wp:wrapNone/>
          <wp:docPr id="3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3800" cy="77025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4832985</wp:posOffset>
          </wp:positionH>
          <wp:positionV relativeFrom="paragraph">
            <wp:posOffset>104444</wp:posOffset>
          </wp:positionV>
          <wp:extent cx="1196340" cy="549275"/>
          <wp:effectExtent b="0" l="0" r="0" t="0"/>
          <wp:wrapNone/>
          <wp:docPr id="3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96340" cy="549275"/>
                  </a:xfrm>
                  <a:prstGeom prst="rect"/>
                  <a:ln/>
                </pic:spPr>
              </pic:pic>
            </a:graphicData>
          </a:graphic>
        </wp:anchor>
      </w:drawing>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252"/>
        <w:tab w:val="right" w:pos="8504"/>
      </w:tabs>
      <w:ind w:left="-851"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Calle Amador Merino Reyna Nº 267 Piso 12 San Isidro - Lima</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252"/>
        <w:tab w:val="right" w:pos="8504"/>
      </w:tabs>
      <w:ind w:left="-851" w:firstLine="0"/>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Av. Carretera a Ventanilla km 5.2 - Callao</w:t>
      <w:br w:type="textWrapping"/>
      <w:t xml:space="preserve">www.gob.pe/sanipes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-427046</wp:posOffset>
          </wp:positionH>
          <wp:positionV relativeFrom="paragraph">
            <wp:posOffset>11430</wp:posOffset>
          </wp:positionV>
          <wp:extent cx="2171700" cy="441960"/>
          <wp:effectExtent b="0" l="0" r="0" t="0"/>
          <wp:wrapNone/>
          <wp:docPr descr="LOGO PRODUCE 2016 - PARA FONDO A COLOR" id="35" name="image4.png"/>
          <a:graphic>
            <a:graphicData uri="http://schemas.openxmlformats.org/drawingml/2006/picture">
              <pic:pic>
                <pic:nvPicPr>
                  <pic:cNvPr descr="LOGO PRODUCE 2016 - PARA FONDO A COLOR" id="0" name="image4.png"/>
                  <pic:cNvPicPr preferRelativeResize="0"/>
                </pic:nvPicPr>
                <pic:blipFill>
                  <a:blip r:embed="rId1"/>
                  <a:srcRect b="0" l="0" r="0" t="0"/>
                  <a:stretch>
                    <a:fillRect/>
                  </a:stretch>
                </pic:blipFill>
                <pic:spPr>
                  <a:xfrm>
                    <a:off x="0" y="0"/>
                    <a:ext cx="2171700" cy="441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30480</wp:posOffset>
          </wp:positionV>
          <wp:extent cx="1592580" cy="527050"/>
          <wp:effectExtent b="0" l="0" r="0" t="0"/>
          <wp:wrapNone/>
          <wp:docPr descr="logo_sanipes-horizontal-01" id="36" name="image3.png"/>
          <a:graphic>
            <a:graphicData uri="http://schemas.openxmlformats.org/drawingml/2006/picture">
              <pic:pic>
                <pic:nvPicPr>
                  <pic:cNvPr descr="logo_sanipes-horizontal-01" id="0" name="image3.png"/>
                  <pic:cNvPicPr preferRelativeResize="0"/>
                </pic:nvPicPr>
                <pic:blipFill>
                  <a:blip r:embed="rId2"/>
                  <a:srcRect b="0" l="0" r="0" t="0"/>
                  <a:stretch>
                    <a:fillRect/>
                  </a:stretch>
                </pic:blipFill>
                <pic:spPr>
                  <a:xfrm>
                    <a:off x="0" y="0"/>
                    <a:ext cx="1592580" cy="527050"/>
                  </a:xfrm>
                  <a:prstGeom prst="rect"/>
                  <a:ln/>
                </pic:spPr>
              </pic:pic>
            </a:graphicData>
          </a:graphic>
        </wp:anchor>
      </w:drawing>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“Decenio de la Igualdad de Oportunidades para Mujeres y Hombres”</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Fortalecimiento de la Soberanía Nacional”</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Bicentenario del Congreso de la República del Perú”</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202124"/>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A5BF6"/>
    <w:rPr>
      <w:lang w:eastAsia="es-ES"/>
    </w:rPr>
  </w:style>
  <w:style w:type="paragraph" w:styleId="Ttulo1">
    <w:name w:val="heading 1"/>
    <w:basedOn w:val="Normal"/>
    <w:link w:val="Ttulo1Car"/>
    <w:uiPriority w:val="9"/>
    <w:qFormat w:val="1"/>
    <w:rsid w:val="009B48DE"/>
    <w:pPr>
      <w:spacing w:after="100" w:afterAutospacing="1" w:before="100" w:beforeAutospacing="1"/>
      <w:outlineLvl w:val="0"/>
    </w:pPr>
    <w:rPr>
      <w:b w:val="1"/>
      <w:bCs w:val="1"/>
      <w:kern w:val="36"/>
      <w:sz w:val="48"/>
      <w:szCs w:val="48"/>
      <w:lang w:eastAsia="es-PE" w:val="es-PE"/>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BE1572"/>
    <w:pPr>
      <w:tabs>
        <w:tab w:val="center" w:pos="4252"/>
        <w:tab w:val="right" w:pos="8504"/>
      </w:tabs>
    </w:pPr>
  </w:style>
  <w:style w:type="character" w:styleId="EncabezadoCar" w:customStyle="1">
    <w:name w:val="Encabezado Car"/>
    <w:basedOn w:val="Fuentedeprrafopredeter"/>
    <w:link w:val="Encabezado"/>
    <w:uiPriority w:val="99"/>
    <w:rsid w:val="00BE1572"/>
  </w:style>
  <w:style w:type="paragraph" w:styleId="Piedepgina">
    <w:name w:val="footer"/>
    <w:basedOn w:val="Normal"/>
    <w:link w:val="PiedepginaCar"/>
    <w:uiPriority w:val="99"/>
    <w:unhideWhenUsed w:val="1"/>
    <w:rsid w:val="00BE1572"/>
    <w:pPr>
      <w:tabs>
        <w:tab w:val="center" w:pos="4252"/>
        <w:tab w:val="right" w:pos="8504"/>
      </w:tabs>
    </w:pPr>
  </w:style>
  <w:style w:type="character" w:styleId="PiedepginaCar" w:customStyle="1">
    <w:name w:val="Pie de página Car"/>
    <w:basedOn w:val="Fuentedeprrafopredeter"/>
    <w:link w:val="Piedepgina"/>
    <w:uiPriority w:val="99"/>
    <w:rsid w:val="00BE1572"/>
  </w:style>
  <w:style w:type="table" w:styleId="Tablaconcuadrcula">
    <w:name w:val="Table Grid"/>
    <w:basedOn w:val="Tablanormal"/>
    <w:uiPriority w:val="39"/>
    <w:rsid w:val="00BE15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C436F2"/>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436F2"/>
    <w:rPr>
      <w:rFonts w:ascii="Segoe UI" w:cs="Segoe UI" w:hAnsi="Segoe UI"/>
      <w:sz w:val="18"/>
      <w:szCs w:val="18"/>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val="1"/>
    <w:rsid w:val="001D77CA"/>
    <w:pPr>
      <w:ind w:left="720"/>
      <w:contextualSpacing w:val="1"/>
    </w:pPr>
  </w:style>
  <w:style w:type="paragraph" w:styleId="Sinespaciado">
    <w:name w:val="No Spacing"/>
    <w:link w:val="SinespaciadoCar"/>
    <w:uiPriority w:val="1"/>
    <w:qFormat w:val="1"/>
    <w:rsid w:val="006A5BF6"/>
    <w:rPr>
      <w:lang w:eastAsia="es-ES"/>
    </w:rPr>
  </w:style>
  <w:style w:type="character" w:styleId="PrrafodelistaCar" w:customStyle="1">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val="1"/>
    <w:rsid w:val="006A5BF6"/>
  </w:style>
  <w:style w:type="character" w:styleId="SinespaciadoCar" w:customStyle="1">
    <w:name w:val="Sin espaciado Car"/>
    <w:basedOn w:val="Fuentedeprrafopredeter"/>
    <w:link w:val="Sinespaciado"/>
    <w:uiPriority w:val="1"/>
    <w:locked w:val="1"/>
    <w:rsid w:val="006A5BF6"/>
    <w:rPr>
      <w:rFonts w:ascii="Times New Roman" w:cs="Times New Roman" w:eastAsia="Times New Roman" w:hAnsi="Times New Roman"/>
      <w:sz w:val="24"/>
      <w:szCs w:val="24"/>
      <w:lang w:eastAsia="es-ES" w:val="es-ES"/>
    </w:rPr>
  </w:style>
  <w:style w:type="paragraph" w:styleId="Subttulo">
    <w:name w:val="Subtitle"/>
    <w:basedOn w:val="Normal"/>
    <w:next w:val="Normal"/>
    <w:link w:val="SubttuloCar"/>
    <w:uiPriority w:val="11"/>
    <w:qFormat w:val="1"/>
    <w:pPr>
      <w:spacing w:after="160"/>
    </w:pPr>
    <w:rPr>
      <w:rFonts w:ascii="Calibri" w:cs="Calibri" w:eastAsia="Calibri" w:hAnsi="Calibri"/>
      <w:color w:val="5a5a5a"/>
      <w:sz w:val="22"/>
      <w:szCs w:val="22"/>
    </w:rPr>
  </w:style>
  <w:style w:type="character" w:styleId="SubttuloCar" w:customStyle="1">
    <w:name w:val="Subtítulo Car"/>
    <w:basedOn w:val="Fuentedeprrafopredeter"/>
    <w:link w:val="Subttulo"/>
    <w:uiPriority w:val="11"/>
    <w:rsid w:val="00EB53D9"/>
    <w:rPr>
      <w:rFonts w:eastAsiaTheme="minorEastAsia"/>
      <w:color w:val="5a5a5a" w:themeColor="text1" w:themeTint="0000A5"/>
      <w:spacing w:val="15"/>
      <w:lang w:eastAsia="es-ES" w:val="es-ES"/>
    </w:rPr>
  </w:style>
  <w:style w:type="character" w:styleId="nfasissutil">
    <w:name w:val="Subtle Emphasis"/>
    <w:basedOn w:val="Fuentedeprrafopredeter"/>
    <w:uiPriority w:val="19"/>
    <w:qFormat w:val="1"/>
    <w:rsid w:val="00EB53D9"/>
    <w:rPr>
      <w:i w:val="1"/>
      <w:iCs w:val="1"/>
      <w:color w:val="404040" w:themeColor="text1" w:themeTint="0000BF"/>
    </w:rPr>
  </w:style>
  <w:style w:type="character" w:styleId="Ttulo1Car" w:customStyle="1">
    <w:name w:val="Título 1 Car"/>
    <w:basedOn w:val="Fuentedeprrafopredeter"/>
    <w:link w:val="Ttulo1"/>
    <w:uiPriority w:val="9"/>
    <w:rsid w:val="009B48DE"/>
    <w:rPr>
      <w:rFonts w:ascii="Times New Roman" w:cs="Times New Roman" w:eastAsia="Times New Roman" w:hAnsi="Times New Roman"/>
      <w:b w:val="1"/>
      <w:bCs w:val="1"/>
      <w:kern w:val="36"/>
      <w:sz w:val="48"/>
      <w:szCs w:val="48"/>
      <w:lang w:eastAsia="es-PE"/>
    </w:rPr>
  </w:style>
  <w:style w:type="paragraph" w:styleId="NormalWeb">
    <w:name w:val="Normal (Web)"/>
    <w:basedOn w:val="Normal"/>
    <w:uiPriority w:val="99"/>
    <w:unhideWhenUsed w:val="1"/>
    <w:rsid w:val="00F0297E"/>
    <w:pPr>
      <w:spacing w:after="100" w:afterAutospacing="1" w:before="100" w:beforeAutospacing="1"/>
    </w:pPr>
    <w:rPr>
      <w:lang w:eastAsia="es-PE" w:val="es-PE"/>
    </w:rPr>
  </w:style>
  <w:style w:type="character" w:styleId="Hipervnculo">
    <w:name w:val="Hyperlink"/>
    <w:basedOn w:val="Fuentedeprrafopredeter"/>
    <w:uiPriority w:val="99"/>
    <w:unhideWhenUsed w:val="1"/>
    <w:rsid w:val="00C41D75"/>
    <w:rPr>
      <w:color w:val="0000ff"/>
      <w:u w:val="single"/>
    </w:rPr>
  </w:style>
  <w:style w:type="character" w:styleId="Hipervnculovisitado">
    <w:name w:val="FollowedHyperlink"/>
    <w:basedOn w:val="Fuentedeprrafopredeter"/>
    <w:uiPriority w:val="99"/>
    <w:semiHidden w:val="1"/>
    <w:unhideWhenUsed w:val="1"/>
    <w:rsid w:val="006E4653"/>
    <w:rPr>
      <w:color w:val="954f72" w:themeColor="followedHyperlink"/>
      <w:u w:val="single"/>
    </w:rPr>
  </w:style>
  <w:style w:type="character" w:styleId="Mencinsinresolver">
    <w:name w:val="Unresolved Mention"/>
    <w:basedOn w:val="Fuentedeprrafopredeter"/>
    <w:uiPriority w:val="99"/>
    <w:semiHidden w:val="1"/>
    <w:unhideWhenUsed w:val="1"/>
    <w:rsid w:val="006E4653"/>
    <w:rPr>
      <w:color w:val="605e5c"/>
      <w:shd w:color="auto" w:fill="e1dfdd" w:val="clear"/>
    </w:rPr>
  </w:style>
  <w:style w:type="character" w:styleId="normaltextrun" w:customStyle="1">
    <w:name w:val="normaltextrun"/>
    <w:basedOn w:val="Fuentedeprrafopredeter"/>
    <w:rsid w:val="00C60D89"/>
  </w:style>
  <w:style w:type="character" w:styleId="eop" w:customStyle="1">
    <w:name w:val="eop"/>
    <w:basedOn w:val="Fuentedeprrafopredeter"/>
    <w:rsid w:val="00C60D89"/>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CJYBgyy8VW3BLNBBaI0nAADjxw==">AMUW2mWCru8nbpefrrEpUn+rIqFw0NQVdPrI13DiZxJ48W/ZCL4Ftb3eGRVYkL2D48HDb/pKAJV2vry3lZlfoxJpLK3RMhr797EIsNUmxwKZ2SUg/KiLdvMInQ89SemmNFEWLZXlgoAx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2022-07-03T18:29:00Z</dcterms:created>
  <dc:creator>Diustin Paredes Milla</dc:creator>
</cp:coreProperties>
</file>