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0D0B" w14:textId="61222C31" w:rsidR="00AF0DF5" w:rsidRPr="002531AD" w:rsidRDefault="00AC0B23">
      <w:pPr>
        <w:jc w:val="center"/>
        <w:rPr>
          <w:rFonts w:ascii="Arial" w:eastAsia="Arial" w:hAnsi="Arial" w:cs="Arial"/>
          <w:b/>
          <w:u w:val="single"/>
        </w:rPr>
      </w:pPr>
      <w:r w:rsidRPr="002531AD">
        <w:rPr>
          <w:rFonts w:ascii="Arial" w:eastAsia="Arial" w:hAnsi="Arial" w:cs="Arial"/>
          <w:b/>
          <w:u w:val="single"/>
        </w:rPr>
        <w:t>Nota de Prensa</w:t>
      </w:r>
    </w:p>
    <w:p w14:paraId="25BD5145" w14:textId="77777777" w:rsidR="00DC1D71" w:rsidRPr="00D9012D" w:rsidRDefault="00DC1D71" w:rsidP="00DC1D71">
      <w:pPr>
        <w:tabs>
          <w:tab w:val="left" w:pos="8385"/>
        </w:tabs>
        <w:rPr>
          <w:rFonts w:ascii="Arial" w:hAnsi="Arial" w:cs="Arial"/>
          <w:i/>
          <w:sz w:val="10"/>
          <w:szCs w:val="10"/>
        </w:rPr>
      </w:pPr>
    </w:p>
    <w:p w14:paraId="50A39858" w14:textId="77777777" w:rsidR="00C67A56" w:rsidRPr="00C67A56" w:rsidRDefault="00DC1D71" w:rsidP="002531AD">
      <w:pPr>
        <w:ind w:right="-1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67A56">
        <w:rPr>
          <w:rFonts w:ascii="Arial" w:hAnsi="Arial" w:cs="Arial"/>
          <w:b/>
          <w:bCs/>
          <w:sz w:val="36"/>
          <w:szCs w:val="36"/>
        </w:rPr>
        <w:t>S</w:t>
      </w:r>
      <w:r w:rsidR="000D1D52" w:rsidRPr="00C67A56">
        <w:rPr>
          <w:rFonts w:ascii="Arial" w:hAnsi="Arial" w:cs="Arial"/>
          <w:b/>
          <w:bCs/>
          <w:sz w:val="36"/>
          <w:szCs w:val="36"/>
        </w:rPr>
        <w:t xml:space="preserve">anipes </w:t>
      </w:r>
      <w:r w:rsidR="00C67A56" w:rsidRPr="00C67A56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fortalece planes de emergencia ante cualquier ingreso de enfermedad que afecte la acuicultura peruana</w:t>
      </w:r>
    </w:p>
    <w:p w14:paraId="36E33956" w14:textId="77777777" w:rsidR="00DC1D71" w:rsidRPr="00F1434B" w:rsidRDefault="00DC1D71" w:rsidP="00DC1D71">
      <w:pPr>
        <w:ind w:right="-710"/>
        <w:jc w:val="both"/>
        <w:rPr>
          <w:rFonts w:ascii="Arial Narrow" w:hAnsi="Arial Narrow" w:cs="Arial"/>
          <w:b/>
          <w:bCs/>
          <w:i/>
          <w:iCs/>
          <w:sz w:val="10"/>
          <w:szCs w:val="10"/>
        </w:rPr>
      </w:pPr>
    </w:p>
    <w:p w14:paraId="7617ACEE" w14:textId="2BCDE74A" w:rsidR="002531AD" w:rsidRPr="002531AD" w:rsidRDefault="002531AD" w:rsidP="001474DD">
      <w:pPr>
        <w:ind w:right="-1"/>
        <w:jc w:val="both"/>
        <w:rPr>
          <w:rFonts w:ascii="Arial" w:hAnsi="Arial" w:cs="Arial"/>
          <w:i/>
          <w:color w:val="000000" w:themeColor="text1"/>
          <w:sz w:val="22"/>
          <w:szCs w:val="22"/>
          <w:highlight w:val="yellow"/>
        </w:rPr>
      </w:pPr>
      <w:r w:rsidRPr="002531AD">
        <w:rPr>
          <w:rFonts w:ascii="Arial" w:hAnsi="Arial" w:cs="Arial"/>
          <w:i/>
          <w:sz w:val="22"/>
          <w:szCs w:val="22"/>
        </w:rPr>
        <w:t xml:space="preserve">Se </w:t>
      </w:r>
      <w:r w:rsidRPr="002531AD">
        <w:rPr>
          <w:rFonts w:ascii="Arial" w:hAnsi="Arial" w:cs="Arial"/>
          <w:i/>
          <w:color w:val="000000" w:themeColor="text1"/>
          <w:sz w:val="22"/>
          <w:szCs w:val="22"/>
        </w:rPr>
        <w:t xml:space="preserve">debe utilizar un enfoque de análisis de riesgos de una situación en la prevención, detección y respuesta a </w:t>
      </w:r>
      <w:r w:rsidRPr="002531AD">
        <w:rPr>
          <w:rFonts w:ascii="Arial" w:hAnsi="Arial" w:cs="Arial"/>
          <w:i/>
          <w:color w:val="000000" w:themeColor="text1"/>
          <w:sz w:val="22"/>
          <w:szCs w:val="22"/>
        </w:rPr>
        <w:t>una</w:t>
      </w:r>
      <w:r w:rsidRPr="002531AD">
        <w:rPr>
          <w:rFonts w:ascii="Arial" w:hAnsi="Arial" w:cs="Arial"/>
          <w:i/>
          <w:color w:val="000000" w:themeColor="text1"/>
          <w:sz w:val="22"/>
          <w:szCs w:val="22"/>
        </w:rPr>
        <w:t xml:space="preserve"> crisis sanitaria.</w:t>
      </w:r>
    </w:p>
    <w:p w14:paraId="0AD6D448" w14:textId="77777777" w:rsidR="00DC1D71" w:rsidRPr="00D53172" w:rsidRDefault="00DC1D71" w:rsidP="00D9012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5D8CA1A" w14:textId="03A2E7FA" w:rsidR="00072FCA" w:rsidRDefault="00DC1D71" w:rsidP="00072FCA">
      <w:pPr>
        <w:ind w:right="-1"/>
        <w:jc w:val="both"/>
        <w:rPr>
          <w:rFonts w:ascii="Arial" w:hAnsi="Arial" w:cs="Arial"/>
          <w:sz w:val="20"/>
          <w:szCs w:val="20"/>
        </w:rPr>
      </w:pPr>
      <w:r w:rsidRPr="00D53172">
        <w:rPr>
          <w:rFonts w:ascii="Arial" w:hAnsi="Arial" w:cs="Arial"/>
          <w:sz w:val="20"/>
          <w:szCs w:val="20"/>
        </w:rPr>
        <w:t xml:space="preserve">El </w:t>
      </w:r>
      <w:r w:rsidR="00D74984" w:rsidRPr="00D53172">
        <w:rPr>
          <w:rFonts w:ascii="Arial" w:hAnsi="Arial" w:cs="Arial"/>
          <w:sz w:val="20"/>
          <w:szCs w:val="20"/>
        </w:rPr>
        <w:t xml:space="preserve">Ministerio de la Producción (Produce), </w:t>
      </w:r>
      <w:r w:rsidR="005117F4" w:rsidRPr="00D53172">
        <w:rPr>
          <w:rFonts w:ascii="Arial" w:hAnsi="Arial" w:cs="Arial"/>
          <w:sz w:val="20"/>
          <w:szCs w:val="20"/>
        </w:rPr>
        <w:t xml:space="preserve">a través del </w:t>
      </w:r>
      <w:r w:rsidRPr="00D53172">
        <w:rPr>
          <w:rFonts w:ascii="Arial" w:hAnsi="Arial" w:cs="Arial"/>
          <w:sz w:val="20"/>
          <w:szCs w:val="20"/>
        </w:rPr>
        <w:t xml:space="preserve">Organismo Nacional de Sanidad Pesquera (Sanipes), </w:t>
      </w:r>
      <w:r w:rsidR="00C67A56" w:rsidRPr="00C67A56">
        <w:rPr>
          <w:rFonts w:ascii="Arial" w:hAnsi="Arial" w:cs="Arial"/>
          <w:sz w:val="20"/>
          <w:szCs w:val="20"/>
        </w:rPr>
        <w:t>redobla esfuerzos colectivos e individuales</w:t>
      </w:r>
      <w:r w:rsidR="00C67A56">
        <w:rPr>
          <w:rFonts w:ascii="Arial" w:hAnsi="Arial" w:cs="Arial"/>
          <w:sz w:val="20"/>
          <w:szCs w:val="20"/>
        </w:rPr>
        <w:t xml:space="preserve"> par</w:t>
      </w:r>
      <w:r w:rsidR="00C67A56" w:rsidRPr="00C67A56">
        <w:rPr>
          <w:rFonts w:ascii="Arial" w:hAnsi="Arial" w:cs="Arial"/>
          <w:sz w:val="20"/>
          <w:szCs w:val="20"/>
        </w:rPr>
        <w:t>a perfeccionar la elaboración y ejecución de planes de emergencia</w:t>
      </w:r>
      <w:r w:rsidR="00C67A56">
        <w:rPr>
          <w:rFonts w:ascii="Arial" w:hAnsi="Arial" w:cs="Arial"/>
          <w:sz w:val="20"/>
          <w:szCs w:val="20"/>
        </w:rPr>
        <w:t xml:space="preserve"> con acción </w:t>
      </w:r>
      <w:r w:rsidR="00C67A56" w:rsidRPr="00C67A56">
        <w:rPr>
          <w:rFonts w:ascii="Arial" w:hAnsi="Arial" w:cs="Arial"/>
          <w:sz w:val="20"/>
          <w:szCs w:val="20"/>
        </w:rPr>
        <w:t>rápida y eficaz</w:t>
      </w:r>
      <w:r w:rsidR="00C67A56">
        <w:rPr>
          <w:rFonts w:ascii="Arial" w:hAnsi="Arial" w:cs="Arial"/>
          <w:sz w:val="20"/>
          <w:szCs w:val="20"/>
        </w:rPr>
        <w:t>,</w:t>
      </w:r>
      <w:r w:rsidR="00C67A56" w:rsidRPr="00C67A56">
        <w:rPr>
          <w:rFonts w:ascii="Arial" w:hAnsi="Arial" w:cs="Arial"/>
          <w:sz w:val="20"/>
          <w:szCs w:val="20"/>
        </w:rPr>
        <w:t xml:space="preserve"> ante el ingreso de </w:t>
      </w:r>
      <w:r w:rsidR="00C67A56">
        <w:rPr>
          <w:rFonts w:ascii="Arial" w:hAnsi="Arial" w:cs="Arial"/>
          <w:sz w:val="20"/>
          <w:szCs w:val="20"/>
        </w:rPr>
        <w:t>cualquier</w:t>
      </w:r>
      <w:r w:rsidR="00C67A56" w:rsidRPr="00C67A56">
        <w:rPr>
          <w:rFonts w:ascii="Arial" w:hAnsi="Arial" w:cs="Arial"/>
          <w:sz w:val="20"/>
          <w:szCs w:val="20"/>
        </w:rPr>
        <w:t xml:space="preserve"> enfermedad exótica, </w:t>
      </w:r>
      <w:r w:rsidR="00C67A56">
        <w:rPr>
          <w:rFonts w:ascii="Arial" w:hAnsi="Arial" w:cs="Arial"/>
          <w:sz w:val="20"/>
          <w:szCs w:val="20"/>
        </w:rPr>
        <w:t xml:space="preserve">y </w:t>
      </w:r>
      <w:r w:rsidR="005D5DEB">
        <w:rPr>
          <w:rFonts w:ascii="Arial" w:hAnsi="Arial" w:cs="Arial"/>
          <w:sz w:val="20"/>
          <w:szCs w:val="20"/>
        </w:rPr>
        <w:t>así</w:t>
      </w:r>
      <w:r w:rsidR="00C67A56" w:rsidRPr="00C67A56">
        <w:rPr>
          <w:rFonts w:ascii="Arial" w:hAnsi="Arial" w:cs="Arial"/>
          <w:sz w:val="20"/>
          <w:szCs w:val="20"/>
        </w:rPr>
        <w:t xml:space="preserve"> evitar</w:t>
      </w:r>
      <w:r w:rsidR="005D5DEB">
        <w:rPr>
          <w:rFonts w:ascii="Arial" w:hAnsi="Arial" w:cs="Arial"/>
          <w:sz w:val="20"/>
          <w:szCs w:val="20"/>
        </w:rPr>
        <w:t xml:space="preserve"> </w:t>
      </w:r>
      <w:r w:rsidR="00C67A56" w:rsidRPr="00C67A56">
        <w:rPr>
          <w:rFonts w:ascii="Arial" w:hAnsi="Arial" w:cs="Arial"/>
          <w:sz w:val="20"/>
          <w:szCs w:val="20"/>
        </w:rPr>
        <w:t>su diseminación hacia otras unidades productivas, establecimientos de cultivo vecinos y ambientes naturales</w:t>
      </w:r>
      <w:r w:rsidR="00C67A56">
        <w:rPr>
          <w:rFonts w:ascii="Arial" w:hAnsi="Arial" w:cs="Arial"/>
          <w:sz w:val="20"/>
          <w:szCs w:val="20"/>
        </w:rPr>
        <w:t xml:space="preserve"> del país</w:t>
      </w:r>
      <w:r w:rsidR="00C67A56" w:rsidRPr="00C67A56">
        <w:rPr>
          <w:rFonts w:ascii="Arial" w:hAnsi="Arial" w:cs="Arial"/>
          <w:sz w:val="20"/>
          <w:szCs w:val="20"/>
        </w:rPr>
        <w:t>.</w:t>
      </w:r>
    </w:p>
    <w:p w14:paraId="119F3234" w14:textId="66BC5E5E" w:rsidR="00C67A56" w:rsidRDefault="00C67A56" w:rsidP="00072FCA">
      <w:pPr>
        <w:ind w:right="-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D2704C" w14:textId="64B570A9" w:rsidR="00F6283B" w:rsidRPr="00F6283B" w:rsidRDefault="00E60DD7" w:rsidP="00F6283B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0"/>
          <w:szCs w:val="20"/>
        </w:rPr>
      </w:pPr>
      <w:r w:rsidRPr="00E60DD7">
        <w:rPr>
          <w:rFonts w:ascii="Arial" w:hAnsi="Arial" w:cs="Arial"/>
          <w:sz w:val="20"/>
          <w:szCs w:val="20"/>
        </w:rPr>
        <w:t xml:space="preserve">También resulta vital, identificar </w:t>
      </w:r>
      <w:r w:rsidR="00F6283B" w:rsidRPr="00E60DD7">
        <w:rPr>
          <w:rFonts w:ascii="Arial" w:hAnsi="Arial" w:cs="Arial"/>
          <w:sz w:val="20"/>
          <w:szCs w:val="20"/>
        </w:rPr>
        <w:t xml:space="preserve">las funciones específicas que cada actor de la cadena productiva desempeña ante la ocurrencia de un brote, tomando </w:t>
      </w:r>
      <w:r w:rsidRPr="00E60DD7">
        <w:rPr>
          <w:rFonts w:ascii="Arial" w:hAnsi="Arial" w:cs="Arial"/>
          <w:sz w:val="20"/>
          <w:szCs w:val="20"/>
        </w:rPr>
        <w:t xml:space="preserve">Sanipes </w:t>
      </w:r>
      <w:r w:rsidR="00F6283B" w:rsidRPr="00E60DD7">
        <w:rPr>
          <w:rFonts w:ascii="Arial" w:hAnsi="Arial" w:cs="Arial"/>
          <w:sz w:val="20"/>
          <w:szCs w:val="20"/>
        </w:rPr>
        <w:t>como referencia</w:t>
      </w:r>
      <w:r w:rsidRPr="00E60DD7">
        <w:rPr>
          <w:rFonts w:ascii="Arial" w:hAnsi="Arial" w:cs="Arial"/>
          <w:sz w:val="20"/>
          <w:szCs w:val="20"/>
        </w:rPr>
        <w:t>,</w:t>
      </w:r>
      <w:r w:rsidR="00F6283B" w:rsidRPr="00E60DD7">
        <w:rPr>
          <w:rFonts w:ascii="Arial" w:hAnsi="Arial" w:cs="Arial"/>
          <w:sz w:val="20"/>
          <w:szCs w:val="20"/>
        </w:rPr>
        <w:t xml:space="preserve"> el Plan de Emergencia </w:t>
      </w:r>
      <w:r w:rsidR="00FF0720">
        <w:rPr>
          <w:rFonts w:ascii="Arial" w:hAnsi="Arial" w:cs="Arial"/>
          <w:sz w:val="20"/>
          <w:szCs w:val="20"/>
        </w:rPr>
        <w:t>S</w:t>
      </w:r>
      <w:r w:rsidR="00F6283B" w:rsidRPr="00E60DD7">
        <w:rPr>
          <w:rFonts w:ascii="Arial" w:hAnsi="Arial" w:cs="Arial"/>
          <w:sz w:val="20"/>
          <w:szCs w:val="20"/>
        </w:rPr>
        <w:t>anitaria ante el Virus Iridiscente de los Decápodos 1 (DIV-1), aprobado mediante la Resolución de Presidencia Ejecutiva N°036-2022-SANIPES/PE.</w:t>
      </w:r>
    </w:p>
    <w:p w14:paraId="637D1D1B" w14:textId="6925FB5E" w:rsidR="00F6283B" w:rsidRDefault="00F6283B" w:rsidP="00072FCA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A3B4E46" w14:textId="597D0AFB" w:rsidR="00E60DD7" w:rsidRPr="00A52F35" w:rsidRDefault="00E60DD7" w:rsidP="00E60DD7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</w:pPr>
      <w:r w:rsidRPr="00A52F35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Con ejercicios prácticos, </w:t>
      </w:r>
      <w:r w:rsidR="00A52F35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especialistas como </w:t>
      </w:r>
      <w:r w:rsidRPr="00A52F35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inspectores sanitarios, veterinarios, analistas en normativa, especialistas en evaluación de infraestructuras pesqueras y </w:t>
      </w:r>
      <w:r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acuícolas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entre otros</w:t>
      </w:r>
      <w:r w:rsidR="00B33593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,</w:t>
      </w:r>
      <w:r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 elaboraron propuestas de lineamientos, protocolos, guías e instructivos, 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durante el desarrollo del taller </w:t>
      </w:r>
      <w:r w:rsidR="00A52F35" w:rsidRPr="00B33593">
        <w:rPr>
          <w:rStyle w:val="normaltextrun"/>
          <w:rFonts w:ascii="Arial" w:hAnsi="Arial" w:cs="Arial"/>
          <w:sz w:val="20"/>
          <w:szCs w:val="20"/>
          <w:lang w:val="es-ES"/>
        </w:rPr>
        <w:t>“F</w:t>
      </w:r>
      <w:r w:rsidR="00A52F35" w:rsidRPr="00B33593">
        <w:rPr>
          <w:rFonts w:ascii="Arial" w:hAnsi="Arial" w:cs="Arial"/>
          <w:sz w:val="20"/>
          <w:szCs w:val="20"/>
        </w:rPr>
        <w:t>ortalecimiento de capacidades, implementación, desarrollo y verificación de planes de emergencia sanitaria de enfermedades que afectan a los recursos hidrobiológicos”</w:t>
      </w:r>
      <w:r w:rsidR="00B33593" w:rsidRPr="00B33593">
        <w:rPr>
          <w:rFonts w:ascii="Arial" w:hAnsi="Arial" w:cs="Arial"/>
          <w:sz w:val="20"/>
          <w:szCs w:val="20"/>
        </w:rPr>
        <w:t>;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 que </w:t>
      </w:r>
      <w:r w:rsidR="00C852D8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fortaleció </w:t>
      </w:r>
      <w:r w:rsidR="00B33593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los conocimientos en la atención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B33593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de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 las alertas sanitarias </w:t>
      </w:r>
      <w:r w:rsidR="00660980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con mayor eficacia</w:t>
      </w:r>
      <w:r w:rsidR="00660980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="00A52F35" w:rsidRPr="00B33593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ante brotes o enfermedades infectocontagiosas que afecten a las especies acuícolas</w:t>
      </w:r>
      <w:r w:rsidR="00660980">
        <w:rPr>
          <w:rStyle w:val="normaltextrun"/>
          <w:rFonts w:ascii="Arial" w:hAnsi="Arial" w:cs="Arial"/>
          <w:color w:val="000000" w:themeColor="text1"/>
          <w:sz w:val="20"/>
          <w:szCs w:val="20"/>
          <w:lang w:val="es-ES"/>
        </w:rPr>
        <w:t>.</w:t>
      </w:r>
    </w:p>
    <w:p w14:paraId="71292368" w14:textId="69CDB913" w:rsidR="00E60DD7" w:rsidRDefault="00E60DD7" w:rsidP="00072FCA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14420F3B" w14:textId="3DF71CB8" w:rsidR="00E60DD7" w:rsidRPr="00A67264" w:rsidRDefault="00A67264" w:rsidP="00072FCA">
      <w:pPr>
        <w:ind w:right="-1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De esta form</w:t>
      </w:r>
      <w:r w:rsidRPr="00A672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la</w:t>
      </w:r>
      <w:r w:rsidR="00B33593" w:rsidRPr="00A67264">
        <w:rPr>
          <w:rFonts w:ascii="Arial" w:hAnsi="Arial" w:cs="Arial"/>
          <w:sz w:val="20"/>
          <w:szCs w:val="20"/>
        </w:rPr>
        <w:t xml:space="preserve"> </w:t>
      </w:r>
      <w:r w:rsidR="009A2AEF" w:rsidRPr="00A67264">
        <w:rPr>
          <w:rFonts w:ascii="Arial" w:hAnsi="Arial" w:cs="Arial"/>
          <w:sz w:val="20"/>
          <w:szCs w:val="20"/>
        </w:rPr>
        <w:t xml:space="preserve">reunión virtual y presencial guiada por las especialistas internacionales </w:t>
      </w:r>
      <w:r w:rsidR="009A2AEF" w:rsidRPr="00A67264">
        <w:rPr>
          <w:rFonts w:ascii="Arial" w:hAnsi="Arial" w:cs="Arial"/>
          <w:sz w:val="20"/>
          <w:szCs w:val="20"/>
        </w:rPr>
        <w:t xml:space="preserve">en gestión </w:t>
      </w:r>
      <w:r w:rsidR="00FF0720">
        <w:rPr>
          <w:rFonts w:ascii="Arial" w:hAnsi="Arial" w:cs="Arial"/>
          <w:sz w:val="20"/>
          <w:szCs w:val="20"/>
        </w:rPr>
        <w:t>s</w:t>
      </w:r>
      <w:r w:rsidR="009A2AEF" w:rsidRPr="00A67264">
        <w:rPr>
          <w:rFonts w:ascii="Arial" w:hAnsi="Arial" w:cs="Arial"/>
          <w:sz w:val="20"/>
          <w:szCs w:val="20"/>
        </w:rPr>
        <w:t xml:space="preserve">anitaria de animales acuáticos de Chile, </w:t>
      </w:r>
      <w:bookmarkStart w:id="1" w:name="_Hlk116580681"/>
      <w:r w:rsidR="009A2AEF" w:rsidRPr="00A67264">
        <w:rPr>
          <w:rFonts w:ascii="Arial" w:hAnsi="Arial" w:cs="Arial"/>
          <w:sz w:val="20"/>
          <w:szCs w:val="20"/>
        </w:rPr>
        <w:t xml:space="preserve">Marcela Lara </w:t>
      </w:r>
      <w:bookmarkEnd w:id="1"/>
      <w:r w:rsidR="009A2AEF" w:rsidRPr="00A67264">
        <w:rPr>
          <w:rFonts w:ascii="Arial" w:hAnsi="Arial" w:cs="Arial"/>
          <w:sz w:val="20"/>
          <w:szCs w:val="20"/>
        </w:rPr>
        <w:t>y Alicia Gallardo</w:t>
      </w:r>
      <w:r w:rsidRPr="00A67264">
        <w:rPr>
          <w:rFonts w:ascii="Arial" w:hAnsi="Arial" w:cs="Arial"/>
          <w:sz w:val="20"/>
          <w:szCs w:val="20"/>
        </w:rPr>
        <w:t xml:space="preserve">, </w:t>
      </w:r>
      <w:r w:rsidR="009A2AEF" w:rsidRPr="00A67264">
        <w:rPr>
          <w:rFonts w:ascii="Arial" w:hAnsi="Arial" w:cs="Arial"/>
          <w:sz w:val="20"/>
          <w:szCs w:val="20"/>
        </w:rPr>
        <w:t xml:space="preserve">concluyó que </w:t>
      </w:r>
      <w:r w:rsidR="009A2AEF" w:rsidRPr="00A67264">
        <w:rPr>
          <w:rFonts w:ascii="Arial" w:hAnsi="Arial" w:cs="Arial"/>
          <w:color w:val="000000" w:themeColor="text1"/>
          <w:sz w:val="20"/>
          <w:szCs w:val="20"/>
        </w:rPr>
        <w:t>la gestión en equipo</w:t>
      </w:r>
      <w:r w:rsidR="009A2AEF" w:rsidRPr="00A67264">
        <w:rPr>
          <w:rFonts w:ascii="Arial" w:hAnsi="Arial" w:cs="Arial"/>
          <w:color w:val="000000" w:themeColor="text1"/>
          <w:sz w:val="20"/>
          <w:szCs w:val="20"/>
        </w:rPr>
        <w:t xml:space="preserve"> debe utilizar un enfoque de análisis de riesgos de una situación zoosanitaria y/o ambiental, en todas sus fases, es decir, en la prevención, detección y respuesta</w:t>
      </w:r>
      <w:r w:rsidR="009A2AEF" w:rsidRPr="00A67264">
        <w:rPr>
          <w:rFonts w:ascii="Arial" w:hAnsi="Arial" w:cs="Arial"/>
          <w:color w:val="000000" w:themeColor="text1"/>
          <w:sz w:val="20"/>
          <w:szCs w:val="20"/>
        </w:rPr>
        <w:t xml:space="preserve"> a la crisis sanitaria</w:t>
      </w:r>
      <w:r w:rsidR="009A2AEF" w:rsidRPr="00A6726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1A10723" w14:textId="2275AE62" w:rsidR="00A67264" w:rsidRDefault="00A67264" w:rsidP="00A67264">
      <w:pPr>
        <w:pStyle w:val="paragraph"/>
        <w:spacing w:after="0"/>
        <w:ind w:right="-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Sanipes</w:t>
      </w:r>
      <w:r w:rsidRPr="00A67264">
        <w:rPr>
          <w:rFonts w:ascii="Arial" w:hAnsi="Arial" w:cs="Arial"/>
          <w:sz w:val="20"/>
          <w:szCs w:val="20"/>
        </w:rPr>
        <w:t xml:space="preserve"> consider</w:t>
      </w:r>
      <w:r w:rsidR="002531AD">
        <w:rPr>
          <w:rFonts w:ascii="Arial" w:hAnsi="Arial" w:cs="Arial"/>
          <w:sz w:val="20"/>
          <w:szCs w:val="20"/>
        </w:rPr>
        <w:t>ó</w:t>
      </w:r>
      <w:r w:rsidRPr="00A67264">
        <w:rPr>
          <w:rFonts w:ascii="Arial" w:hAnsi="Arial" w:cs="Arial"/>
          <w:sz w:val="20"/>
          <w:szCs w:val="20"/>
        </w:rPr>
        <w:t xml:space="preserve"> un ejercicio de simulacro de gabinete ante la presencia de enfermedades que afectan</w:t>
      </w:r>
      <w:r w:rsidR="0044116C">
        <w:rPr>
          <w:rFonts w:ascii="Arial" w:hAnsi="Arial" w:cs="Arial"/>
          <w:sz w:val="20"/>
          <w:szCs w:val="20"/>
        </w:rPr>
        <w:t xml:space="preserve"> </w:t>
      </w:r>
      <w:r w:rsidRPr="00A67264">
        <w:rPr>
          <w:rFonts w:ascii="Arial" w:hAnsi="Arial" w:cs="Arial"/>
          <w:sz w:val="20"/>
          <w:szCs w:val="20"/>
        </w:rPr>
        <w:t xml:space="preserve">a los recursos hidrobiológicos en el Perú. El mismo que </w:t>
      </w:r>
      <w:r>
        <w:rPr>
          <w:rFonts w:ascii="Arial" w:hAnsi="Arial" w:cs="Arial"/>
          <w:sz w:val="20"/>
          <w:szCs w:val="20"/>
        </w:rPr>
        <w:t>fue</w:t>
      </w:r>
      <w:r w:rsidRPr="00A67264">
        <w:rPr>
          <w:rFonts w:ascii="Arial" w:hAnsi="Arial" w:cs="Arial"/>
          <w:sz w:val="20"/>
          <w:szCs w:val="20"/>
        </w:rPr>
        <w:t xml:space="preserve"> comunicado a la Organización Mundial de Sanidad Animal (OMSA), como parte de los compromisos como país miembro, y con la finalidad de compartir la experiencia en cuanto a la preparación a nivel nacional respecto a los planes de emergencia.</w:t>
      </w:r>
    </w:p>
    <w:p w14:paraId="1AFB5931" w14:textId="68A75A56" w:rsidR="0007580C" w:rsidRPr="0016323D" w:rsidRDefault="0016323D" w:rsidP="00072FC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6323D">
        <w:rPr>
          <w:rFonts w:ascii="Arial" w:hAnsi="Arial" w:cs="Arial"/>
          <w:b/>
          <w:sz w:val="22"/>
          <w:szCs w:val="22"/>
        </w:rPr>
        <w:t>Dato de Interés</w:t>
      </w:r>
    </w:p>
    <w:p w14:paraId="2FE986CE" w14:textId="62EA7F73" w:rsidR="00B33593" w:rsidRPr="00B33593" w:rsidRDefault="00B33593" w:rsidP="00B33593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sz w:val="20"/>
          <w:szCs w:val="20"/>
        </w:rPr>
      </w:pPr>
      <w:r w:rsidRPr="00B33593">
        <w:rPr>
          <w:rFonts w:ascii="Arial" w:hAnsi="Arial" w:cs="Arial"/>
          <w:sz w:val="20"/>
          <w:szCs w:val="20"/>
        </w:rPr>
        <w:t>La propagación de enfermedades en los animales acuáticos se está volviendo más común en muchas partes del mundo, debido a la intensificación de los cultivos, movimiento transfronterizo de animales, entre otros. Sumado a ello, se encuentran las pérdidas económicas y sociales asociadas</w:t>
      </w:r>
      <w:r>
        <w:rPr>
          <w:rFonts w:ascii="Arial" w:hAnsi="Arial" w:cs="Arial"/>
          <w:sz w:val="20"/>
          <w:szCs w:val="20"/>
        </w:rPr>
        <w:t>.</w:t>
      </w:r>
      <w:r w:rsidRPr="00B335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B33593">
        <w:rPr>
          <w:rFonts w:ascii="Arial" w:hAnsi="Arial" w:cs="Arial"/>
          <w:sz w:val="20"/>
          <w:szCs w:val="20"/>
        </w:rPr>
        <w:t>e acuerdo con el China Fishery Statistical Yearbook del año 2019, enfermedades como el DIV-1 fue uno de los principales motivos de la caída de la producción anual de langostino de 1.5 millones a 1.2 millones de toneladas en el año 2018.</w:t>
      </w:r>
    </w:p>
    <w:p w14:paraId="4C3F813A" w14:textId="3B4D5D1F" w:rsidR="007A5E5B" w:rsidRPr="00D53172" w:rsidRDefault="007A5E5B" w:rsidP="00072FCA">
      <w:pPr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3C972B5C" w14:textId="77777777" w:rsidR="00F1434B" w:rsidRPr="008F0725" w:rsidRDefault="00F1434B" w:rsidP="00DC1D71">
      <w:pPr>
        <w:ind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205A4F2" w14:textId="67E0A1FA" w:rsidR="00C67A56" w:rsidRDefault="00F1434B" w:rsidP="008F0725">
      <w:pPr>
        <w:ind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F0725">
        <w:rPr>
          <w:rFonts w:ascii="Arial" w:hAnsi="Arial" w:cs="Arial"/>
          <w:color w:val="000000"/>
          <w:sz w:val="20"/>
          <w:szCs w:val="20"/>
          <w:shd w:val="clear" w:color="auto" w:fill="FFFFFF"/>
        </w:rPr>
        <w:t>Agradecemos su difusión.</w:t>
      </w:r>
    </w:p>
    <w:sectPr w:rsidR="00C67A56">
      <w:headerReference w:type="default" r:id="rId8"/>
      <w:footerReference w:type="default" r:id="rId9"/>
      <w:pgSz w:w="11906" w:h="16838"/>
      <w:pgMar w:top="1701" w:right="1701" w:bottom="1418" w:left="170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18A1" w14:textId="77777777" w:rsidR="00033BB1" w:rsidRDefault="00033BB1">
      <w:r>
        <w:separator/>
      </w:r>
    </w:p>
  </w:endnote>
  <w:endnote w:type="continuationSeparator" w:id="0">
    <w:p w14:paraId="0B18E2AD" w14:textId="77777777" w:rsidR="00033BB1" w:rsidRDefault="0003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5755" w14:textId="77777777" w:rsidR="00AF0DF5" w:rsidRDefault="00AC0B23">
    <w:pPr>
      <w:rPr>
        <w:rFonts w:ascii="Arial" w:eastAsia="Arial" w:hAnsi="Arial" w:cs="Arial"/>
        <w:sz w:val="16"/>
        <w:szCs w:val="16"/>
      </w:rPr>
    </w:pPr>
    <w:r>
      <w:rPr>
        <w:noProof/>
        <w:lang w:val="es-PE" w:eastAsia="es-PE"/>
      </w:rPr>
      <w:drawing>
        <wp:anchor distT="0" distB="0" distL="0" distR="0" simplePos="0" relativeHeight="251660288" behindDoc="1" locked="0" layoutInCell="1" hidden="0" allowOverlap="1" wp14:anchorId="217AC28D" wp14:editId="7D866D91">
          <wp:simplePos x="0" y="0"/>
          <wp:positionH relativeFrom="column">
            <wp:posOffset>3491865</wp:posOffset>
          </wp:positionH>
          <wp:positionV relativeFrom="paragraph">
            <wp:posOffset>-326</wp:posOffset>
          </wp:positionV>
          <wp:extent cx="1193800" cy="770255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770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61312" behindDoc="1" locked="0" layoutInCell="1" hidden="0" allowOverlap="1" wp14:anchorId="2926456B" wp14:editId="3C41E985">
          <wp:simplePos x="0" y="0"/>
          <wp:positionH relativeFrom="column">
            <wp:posOffset>4832985</wp:posOffset>
          </wp:positionH>
          <wp:positionV relativeFrom="paragraph">
            <wp:posOffset>104444</wp:posOffset>
          </wp:positionV>
          <wp:extent cx="1196340" cy="549275"/>
          <wp:effectExtent l="0" t="0" r="0" b="0"/>
          <wp:wrapNone/>
          <wp:docPr id="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73F48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Calle Amador Merino Reyna Nº 267 Piso 12 San Isidro - Lima</w:t>
    </w:r>
  </w:p>
  <w:p w14:paraId="4E237A1B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4652" w14:textId="77777777" w:rsidR="00033BB1" w:rsidRDefault="00033BB1">
      <w:r>
        <w:separator/>
      </w:r>
    </w:p>
  </w:footnote>
  <w:footnote w:type="continuationSeparator" w:id="0">
    <w:p w14:paraId="7AB78B71" w14:textId="77777777" w:rsidR="00033BB1" w:rsidRDefault="0003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E7B3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hidden="0" allowOverlap="1" wp14:anchorId="1F3D33B5" wp14:editId="09F56A6B">
          <wp:simplePos x="0" y="0"/>
          <wp:positionH relativeFrom="column">
            <wp:posOffset>-427046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35" name="image3.png" descr="LOGO PRODUCE 2016 - PARA FONDO A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PRODUCE 2016 - PARA FONDO A 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27003F2C" wp14:editId="4F844C95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36" name="image2.png" descr="logo_sanipes-horizontal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sanipes-horizontal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6A9D43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241FE803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  <w:p w14:paraId="7714784E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67583188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3D712F82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3A3866CB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14:paraId="20CC480C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Fortalecimiento de la Soberanía Nacional”</w:t>
    </w:r>
  </w:p>
  <w:p w14:paraId="57F4C714" w14:textId="77777777" w:rsidR="00AF0DF5" w:rsidRDefault="00AC0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“Año del Bicentenario del Congreso de la República del Perú”</w:t>
    </w:r>
  </w:p>
  <w:p w14:paraId="6486387C" w14:textId="77777777" w:rsidR="00AF0DF5" w:rsidRDefault="00AF0D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202124"/>
        <w:sz w:val="16"/>
        <w:szCs w:val="16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A5"/>
    <w:multiLevelType w:val="multilevel"/>
    <w:tmpl w:val="1FE4E3E0"/>
    <w:lvl w:ilvl="0">
      <w:start w:val="5"/>
      <w:numFmt w:val="decimal"/>
      <w:lvlText w:val="%1"/>
      <w:lvlJc w:val="left"/>
      <w:pPr>
        <w:ind w:left="80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08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19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6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39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6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53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1AF6766A"/>
    <w:multiLevelType w:val="hybridMultilevel"/>
    <w:tmpl w:val="2A22E648"/>
    <w:lvl w:ilvl="0" w:tplc="28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0DE2451"/>
    <w:multiLevelType w:val="multilevel"/>
    <w:tmpl w:val="16763124"/>
    <w:lvl w:ilvl="0">
      <w:start w:val="6"/>
      <w:numFmt w:val="decimal"/>
      <w:lvlText w:val="%1"/>
      <w:lvlJc w:val="left"/>
      <w:pPr>
        <w:ind w:left="80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08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094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825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8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5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4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7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0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24A8074A"/>
    <w:multiLevelType w:val="hybridMultilevel"/>
    <w:tmpl w:val="C84C9BF6"/>
    <w:lvl w:ilvl="0" w:tplc="E026A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19A7"/>
    <w:multiLevelType w:val="hybridMultilevel"/>
    <w:tmpl w:val="B852C9DC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F5"/>
    <w:rsid w:val="00003C41"/>
    <w:rsid w:val="00033BB1"/>
    <w:rsid w:val="00071BA2"/>
    <w:rsid w:val="00072FCA"/>
    <w:rsid w:val="0007580C"/>
    <w:rsid w:val="000D1D52"/>
    <w:rsid w:val="0012197C"/>
    <w:rsid w:val="00121BC5"/>
    <w:rsid w:val="00121FC7"/>
    <w:rsid w:val="00131002"/>
    <w:rsid w:val="00137456"/>
    <w:rsid w:val="001474DD"/>
    <w:rsid w:val="0016323D"/>
    <w:rsid w:val="00175EC7"/>
    <w:rsid w:val="001C7F1E"/>
    <w:rsid w:val="00202F98"/>
    <w:rsid w:val="002306A9"/>
    <w:rsid w:val="00236267"/>
    <w:rsid w:val="002401B1"/>
    <w:rsid w:val="002531AD"/>
    <w:rsid w:val="00262C84"/>
    <w:rsid w:val="00270CF3"/>
    <w:rsid w:val="002B1894"/>
    <w:rsid w:val="00317DB3"/>
    <w:rsid w:val="003340C1"/>
    <w:rsid w:val="0034419C"/>
    <w:rsid w:val="00392939"/>
    <w:rsid w:val="003A0448"/>
    <w:rsid w:val="003A2322"/>
    <w:rsid w:val="003A6C75"/>
    <w:rsid w:val="0044116C"/>
    <w:rsid w:val="004514D9"/>
    <w:rsid w:val="0047229C"/>
    <w:rsid w:val="004D07BE"/>
    <w:rsid w:val="00507F64"/>
    <w:rsid w:val="005117F4"/>
    <w:rsid w:val="00526B95"/>
    <w:rsid w:val="00537108"/>
    <w:rsid w:val="0054703F"/>
    <w:rsid w:val="005713AD"/>
    <w:rsid w:val="005D5DEB"/>
    <w:rsid w:val="006257B5"/>
    <w:rsid w:val="00660980"/>
    <w:rsid w:val="006A418C"/>
    <w:rsid w:val="006C4E7A"/>
    <w:rsid w:val="006E16D5"/>
    <w:rsid w:val="006F7EC2"/>
    <w:rsid w:val="00711902"/>
    <w:rsid w:val="00734CED"/>
    <w:rsid w:val="0075519C"/>
    <w:rsid w:val="007903B3"/>
    <w:rsid w:val="007A5E5B"/>
    <w:rsid w:val="007D0868"/>
    <w:rsid w:val="007F64B2"/>
    <w:rsid w:val="00811E09"/>
    <w:rsid w:val="0083096F"/>
    <w:rsid w:val="008313D2"/>
    <w:rsid w:val="00833786"/>
    <w:rsid w:val="008F0725"/>
    <w:rsid w:val="008F2D14"/>
    <w:rsid w:val="00904A7E"/>
    <w:rsid w:val="0094729B"/>
    <w:rsid w:val="00987F21"/>
    <w:rsid w:val="009A2AEF"/>
    <w:rsid w:val="009B3B58"/>
    <w:rsid w:val="009B6901"/>
    <w:rsid w:val="009D3BF4"/>
    <w:rsid w:val="009F010C"/>
    <w:rsid w:val="00A17BBA"/>
    <w:rsid w:val="00A467A4"/>
    <w:rsid w:val="00A52F35"/>
    <w:rsid w:val="00A67264"/>
    <w:rsid w:val="00A80D94"/>
    <w:rsid w:val="00A904D4"/>
    <w:rsid w:val="00A95556"/>
    <w:rsid w:val="00AC0B23"/>
    <w:rsid w:val="00AF0DF5"/>
    <w:rsid w:val="00AF3C45"/>
    <w:rsid w:val="00AF4659"/>
    <w:rsid w:val="00B000EF"/>
    <w:rsid w:val="00B11EE4"/>
    <w:rsid w:val="00B2571E"/>
    <w:rsid w:val="00B33593"/>
    <w:rsid w:val="00B716AA"/>
    <w:rsid w:val="00BB1A53"/>
    <w:rsid w:val="00C354F8"/>
    <w:rsid w:val="00C40094"/>
    <w:rsid w:val="00C67A56"/>
    <w:rsid w:val="00C852D8"/>
    <w:rsid w:val="00CA6DD0"/>
    <w:rsid w:val="00CB589C"/>
    <w:rsid w:val="00CB7C88"/>
    <w:rsid w:val="00D14B0E"/>
    <w:rsid w:val="00D2707B"/>
    <w:rsid w:val="00D36621"/>
    <w:rsid w:val="00D53172"/>
    <w:rsid w:val="00D64F6A"/>
    <w:rsid w:val="00D74984"/>
    <w:rsid w:val="00D80384"/>
    <w:rsid w:val="00D9012D"/>
    <w:rsid w:val="00DA237A"/>
    <w:rsid w:val="00DC1D71"/>
    <w:rsid w:val="00DC4681"/>
    <w:rsid w:val="00DE7CCC"/>
    <w:rsid w:val="00E568DE"/>
    <w:rsid w:val="00E60DD7"/>
    <w:rsid w:val="00E97BDB"/>
    <w:rsid w:val="00EC2372"/>
    <w:rsid w:val="00ED5E40"/>
    <w:rsid w:val="00EE4204"/>
    <w:rsid w:val="00F07F33"/>
    <w:rsid w:val="00F1434B"/>
    <w:rsid w:val="00F4688D"/>
    <w:rsid w:val="00F6283B"/>
    <w:rsid w:val="00FC0927"/>
    <w:rsid w:val="00FD5F4A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03A5"/>
  <w15:docId w15:val="{CA3762AC-7FF6-1741-A1E1-B424086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F6"/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9B4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572"/>
  </w:style>
  <w:style w:type="paragraph" w:styleId="Piedepgina">
    <w:name w:val="footer"/>
    <w:basedOn w:val="Normal"/>
    <w:link w:val="PiedepginaCar"/>
    <w:uiPriority w:val="99"/>
    <w:unhideWhenUsed/>
    <w:rsid w:val="00BE15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572"/>
  </w:style>
  <w:style w:type="table" w:styleId="Tablaconcuadrcula">
    <w:name w:val="Table Grid"/>
    <w:basedOn w:val="Tablanormal"/>
    <w:uiPriority w:val="39"/>
    <w:rsid w:val="00B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F2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1D77C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A5BF6"/>
    <w:rPr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A5BF6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A5B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B53D9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EB53D9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9B48D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F0297E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C41D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65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653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60D89"/>
  </w:style>
  <w:style w:type="character" w:customStyle="1" w:styleId="eop">
    <w:name w:val="eop"/>
    <w:basedOn w:val="Fuentedeprrafopredeter"/>
    <w:rsid w:val="00C60D89"/>
  </w:style>
  <w:style w:type="paragraph" w:styleId="Textoindependiente">
    <w:name w:val="Body Text"/>
    <w:basedOn w:val="Normal"/>
    <w:link w:val="TextoindependienteCar"/>
    <w:uiPriority w:val="1"/>
    <w:qFormat/>
    <w:rsid w:val="0007580C"/>
    <w:pPr>
      <w:widowControl w:val="0"/>
      <w:autoSpaceDE w:val="0"/>
      <w:autoSpaceDN w:val="0"/>
      <w:ind w:left="669" w:hanging="428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580C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paragraph">
    <w:name w:val="paragraph"/>
    <w:basedOn w:val="Normal"/>
    <w:rsid w:val="00F6283B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tmyGjO46Ln4d5vUjqGXRyAjmA==">AMUW2mWyhhE8rA2vHWjoXMF2ZwcUANRYmuJWtaLD3WYlwTqt9ttBdMj1Ure/1ZSiTCEcOrm+SiOJpug252f5wo6upsbTlirMIN66HvZ7uhOjFxy9KGpAfEhExlQkawQybMG0oXf/3dMT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Diustin Paredes Milla</dc:creator>
  <cp:lastModifiedBy>Usuario de Microsoft Office</cp:lastModifiedBy>
  <cp:revision>62</cp:revision>
  <dcterms:created xsi:type="dcterms:W3CDTF">2022-09-28T18:44:00Z</dcterms:created>
  <dcterms:modified xsi:type="dcterms:W3CDTF">2022-10-24T18:14:00Z</dcterms:modified>
</cp:coreProperties>
</file>