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3F" w:rsidRDefault="003926E8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:rsidR="00042D3F" w:rsidRDefault="00042D3F">
      <w:pPr>
        <w:tabs>
          <w:tab w:val="left" w:pos="8385"/>
        </w:tabs>
        <w:rPr>
          <w:rFonts w:ascii="Arial" w:eastAsia="Arial" w:hAnsi="Arial" w:cs="Arial"/>
          <w:i/>
          <w:sz w:val="10"/>
          <w:szCs w:val="10"/>
        </w:rPr>
      </w:pPr>
    </w:p>
    <w:p w:rsidR="00042D3F" w:rsidRPr="00536486" w:rsidRDefault="00941929">
      <w:pPr>
        <w:jc w:val="center"/>
        <w:rPr>
          <w:rFonts w:ascii="Arial" w:eastAsia="Arial" w:hAnsi="Arial" w:cs="Arial"/>
          <w:b/>
          <w:sz w:val="30"/>
          <w:szCs w:val="30"/>
        </w:rPr>
      </w:pPr>
      <w:r w:rsidRPr="00536486">
        <w:rPr>
          <w:rFonts w:ascii="Arial" w:eastAsia="Arial" w:hAnsi="Arial" w:cs="Arial"/>
          <w:b/>
          <w:sz w:val="30"/>
          <w:szCs w:val="30"/>
        </w:rPr>
        <w:t xml:space="preserve">Sanipes elimina requisitos </w:t>
      </w:r>
      <w:r w:rsidR="008910DD">
        <w:rPr>
          <w:rFonts w:ascii="Arial" w:eastAsia="Arial" w:hAnsi="Arial" w:cs="Arial"/>
          <w:b/>
          <w:sz w:val="30"/>
          <w:szCs w:val="30"/>
        </w:rPr>
        <w:t xml:space="preserve">para </w:t>
      </w:r>
      <w:r w:rsidRPr="00536486">
        <w:rPr>
          <w:rFonts w:ascii="Arial" w:eastAsia="Arial" w:hAnsi="Arial" w:cs="Arial"/>
          <w:b/>
          <w:sz w:val="30"/>
          <w:szCs w:val="30"/>
        </w:rPr>
        <w:t>la obtención de la Habilitación Sanitaria</w:t>
      </w:r>
    </w:p>
    <w:p w:rsidR="00042D3F" w:rsidRPr="00536486" w:rsidRDefault="00722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Generará i</w:t>
      </w:r>
      <w:r w:rsidR="008D796E" w:rsidRPr="00536486">
        <w:rPr>
          <w:rFonts w:ascii="Arial" w:hAnsi="Arial" w:cs="Arial"/>
          <w:i/>
          <w:sz w:val="20"/>
          <w:szCs w:val="20"/>
        </w:rPr>
        <w:t>mpacto positivo en la economía de los administrados y motiva</w:t>
      </w:r>
      <w:r w:rsidR="00536486" w:rsidRPr="00536486">
        <w:rPr>
          <w:rFonts w:ascii="Arial" w:hAnsi="Arial" w:cs="Arial"/>
          <w:i/>
          <w:sz w:val="20"/>
          <w:szCs w:val="20"/>
        </w:rPr>
        <w:t>rá</w:t>
      </w:r>
      <w:r w:rsidR="008D796E" w:rsidRPr="00536486">
        <w:rPr>
          <w:rFonts w:ascii="Arial" w:hAnsi="Arial" w:cs="Arial"/>
          <w:i/>
          <w:sz w:val="20"/>
          <w:szCs w:val="20"/>
        </w:rPr>
        <w:t xml:space="preserve"> a los acuicultores peruanos a habilitar</w:t>
      </w:r>
      <w:r w:rsidR="00536486" w:rsidRPr="00536486">
        <w:rPr>
          <w:rFonts w:ascii="Arial" w:hAnsi="Arial" w:cs="Arial"/>
          <w:i/>
          <w:sz w:val="20"/>
          <w:szCs w:val="20"/>
        </w:rPr>
        <w:t xml:space="preserve"> sus establecimientos acuícolas</w:t>
      </w:r>
      <w:r w:rsidR="00536486">
        <w:rPr>
          <w:rFonts w:ascii="Arial" w:hAnsi="Arial" w:cs="Arial"/>
          <w:i/>
          <w:sz w:val="20"/>
          <w:szCs w:val="20"/>
        </w:rPr>
        <w:t xml:space="preserve"> a nivel nacional</w:t>
      </w:r>
    </w:p>
    <w:p w:rsidR="00663380" w:rsidRPr="006B1727" w:rsidRDefault="003926E8" w:rsidP="00BE7D60">
      <w:pPr>
        <w:pStyle w:val="Cuadrculamediana2-nfasis11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6B1727">
        <w:rPr>
          <w:rFonts w:ascii="Arial" w:hAnsi="Arial" w:cs="Arial"/>
          <w:sz w:val="19"/>
          <w:szCs w:val="19"/>
        </w:rPr>
        <w:t xml:space="preserve">El </w:t>
      </w:r>
      <w:r w:rsidR="00663380" w:rsidRPr="006B1727">
        <w:rPr>
          <w:rFonts w:ascii="Arial" w:hAnsi="Arial" w:cs="Arial"/>
          <w:sz w:val="19"/>
          <w:szCs w:val="19"/>
        </w:rPr>
        <w:t xml:space="preserve">Organismo Nacional de Sanidad Pesquera (Sanipes), </w:t>
      </w:r>
      <w:r w:rsidR="00D61D7C" w:rsidRPr="006B1727">
        <w:rPr>
          <w:rFonts w:ascii="Arial" w:hAnsi="Arial" w:cs="Arial"/>
          <w:sz w:val="19"/>
          <w:szCs w:val="19"/>
        </w:rPr>
        <w:t xml:space="preserve">entidad adscrita al Ministerio de la Producción, </w:t>
      </w:r>
      <w:r w:rsidR="00663380" w:rsidRPr="006B1727">
        <w:rPr>
          <w:rFonts w:ascii="Arial" w:hAnsi="Arial" w:cs="Arial"/>
          <w:sz w:val="19"/>
          <w:szCs w:val="19"/>
        </w:rPr>
        <w:t xml:space="preserve">eliminó requisitos de procedimiento administrativo, que permite agilizar los trámites que realicen los productores para la obtención de la Habilitación Sanitaria de sus </w:t>
      </w:r>
      <w:r w:rsidR="0098097D" w:rsidRPr="006B1727">
        <w:rPr>
          <w:rFonts w:ascii="Arial" w:hAnsi="Arial" w:cs="Arial"/>
          <w:sz w:val="19"/>
          <w:szCs w:val="19"/>
        </w:rPr>
        <w:t>establecimientos acuícolas</w:t>
      </w:r>
      <w:r w:rsidR="00BE7D60" w:rsidRPr="006B1727">
        <w:rPr>
          <w:rFonts w:ascii="Arial" w:hAnsi="Arial" w:cs="Arial"/>
          <w:sz w:val="19"/>
          <w:szCs w:val="19"/>
        </w:rPr>
        <w:t xml:space="preserve"> (</w:t>
      </w:r>
      <w:r w:rsidR="00BE7D60" w:rsidRPr="006B1727">
        <w:rPr>
          <w:rFonts w:ascii="Arial" w:hAnsi="Arial" w:cs="Arial"/>
          <w:bCs/>
          <w:sz w:val="19"/>
          <w:szCs w:val="19"/>
          <w:lang w:val="es-MX"/>
        </w:rPr>
        <w:t>áreas de producción de moluscos bivalvos, centros de cultivo, centros de producción de semillas y otros a mayor y menor escala</w:t>
      </w:r>
      <w:r w:rsidR="00BE7D60" w:rsidRPr="006B1727">
        <w:rPr>
          <w:rFonts w:ascii="Arial" w:hAnsi="Arial" w:cs="Arial"/>
          <w:sz w:val="19"/>
          <w:szCs w:val="19"/>
        </w:rPr>
        <w:t>),</w:t>
      </w:r>
      <w:r w:rsidR="00BE7D60" w:rsidRPr="006B1727">
        <w:rPr>
          <w:rFonts w:ascii="Arial" w:eastAsia="Arial" w:hAnsi="Arial" w:cs="Arial"/>
          <w:sz w:val="19"/>
          <w:szCs w:val="19"/>
        </w:rPr>
        <w:t xml:space="preserve"> </w:t>
      </w:r>
      <w:r w:rsidR="007F52DD" w:rsidRPr="006B1727">
        <w:rPr>
          <w:rFonts w:ascii="Arial" w:eastAsia="Arial" w:hAnsi="Arial" w:cs="Arial"/>
          <w:sz w:val="19"/>
          <w:szCs w:val="19"/>
        </w:rPr>
        <w:t xml:space="preserve">acorde </w:t>
      </w:r>
      <w:r w:rsidR="007F52DD" w:rsidRPr="006B1727">
        <w:rPr>
          <w:rFonts w:ascii="Arial" w:hAnsi="Arial" w:cs="Arial"/>
          <w:sz w:val="19"/>
          <w:szCs w:val="19"/>
          <w:lang w:val="es-MX"/>
        </w:rPr>
        <w:t>con los avances tecnológicos e informáticos.</w:t>
      </w:r>
    </w:p>
    <w:p w:rsidR="001756A6" w:rsidRPr="006B1727" w:rsidRDefault="001756A6" w:rsidP="00AF6906">
      <w:pPr>
        <w:autoSpaceDE w:val="0"/>
        <w:autoSpaceDN w:val="0"/>
        <w:adjustRightInd w:val="0"/>
        <w:jc w:val="both"/>
        <w:rPr>
          <w:rFonts w:ascii="Arial" w:eastAsia="Arial" w:hAnsi="Arial" w:cs="Arial"/>
          <w:sz w:val="10"/>
          <w:szCs w:val="10"/>
        </w:rPr>
      </w:pPr>
    </w:p>
    <w:p w:rsidR="00132510" w:rsidRPr="006B1727" w:rsidRDefault="00132510" w:rsidP="00AF6906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B1727">
        <w:rPr>
          <w:rFonts w:ascii="Arial" w:eastAsia="Arial" w:hAnsi="Arial" w:cs="Arial"/>
          <w:sz w:val="19"/>
          <w:szCs w:val="19"/>
        </w:rPr>
        <w:t xml:space="preserve">Es así que, mediante </w:t>
      </w:r>
      <w:r w:rsidRPr="006B1727">
        <w:rPr>
          <w:rFonts w:ascii="Arial" w:hAnsi="Arial" w:cs="Arial"/>
          <w:sz w:val="19"/>
          <w:szCs w:val="19"/>
          <w:lang w:val="es-MX"/>
        </w:rPr>
        <w:t>R</w:t>
      </w:r>
      <w:r w:rsidR="00150730" w:rsidRPr="006B1727">
        <w:rPr>
          <w:rFonts w:ascii="Arial" w:hAnsi="Arial" w:cs="Arial"/>
          <w:sz w:val="19"/>
          <w:szCs w:val="19"/>
          <w:lang w:val="es-MX"/>
        </w:rPr>
        <w:t xml:space="preserve">esolución de </w:t>
      </w:r>
      <w:r w:rsidRPr="006B1727">
        <w:rPr>
          <w:rFonts w:ascii="Arial" w:hAnsi="Arial" w:cs="Arial"/>
          <w:sz w:val="19"/>
          <w:szCs w:val="19"/>
          <w:lang w:val="es-MX"/>
        </w:rPr>
        <w:t>P</w:t>
      </w:r>
      <w:r w:rsidR="00150730" w:rsidRPr="006B1727">
        <w:rPr>
          <w:rFonts w:ascii="Arial" w:hAnsi="Arial" w:cs="Arial"/>
          <w:sz w:val="19"/>
          <w:szCs w:val="19"/>
          <w:lang w:val="es-MX"/>
        </w:rPr>
        <w:t xml:space="preserve">residencia </w:t>
      </w:r>
      <w:r w:rsidRPr="006B1727">
        <w:rPr>
          <w:rFonts w:ascii="Arial" w:hAnsi="Arial" w:cs="Arial"/>
          <w:sz w:val="19"/>
          <w:szCs w:val="19"/>
          <w:lang w:val="es-MX"/>
        </w:rPr>
        <w:t>E</w:t>
      </w:r>
      <w:r w:rsidR="00150730" w:rsidRPr="006B1727">
        <w:rPr>
          <w:rFonts w:ascii="Arial" w:hAnsi="Arial" w:cs="Arial"/>
          <w:sz w:val="19"/>
          <w:szCs w:val="19"/>
          <w:lang w:val="es-MX"/>
        </w:rPr>
        <w:t>jecutiva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 N° 106-2022-SANIPES/PE, se elimina</w:t>
      </w:r>
      <w:r w:rsidR="00D61D7C" w:rsidRPr="006B1727">
        <w:rPr>
          <w:rFonts w:ascii="Arial" w:hAnsi="Arial" w:cs="Arial"/>
          <w:sz w:val="19"/>
          <w:szCs w:val="19"/>
          <w:lang w:val="es-MX"/>
        </w:rPr>
        <w:t>n los siguientes requisitos: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 la presentación del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P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lan o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P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rograma de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S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iembra y/o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C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osecha, </w:t>
      </w:r>
      <w:r w:rsidR="00E314E8" w:rsidRPr="006B1727">
        <w:rPr>
          <w:rFonts w:ascii="Arial" w:hAnsi="Arial" w:cs="Arial"/>
          <w:sz w:val="19"/>
          <w:szCs w:val="19"/>
          <w:lang w:val="es-MX"/>
        </w:rPr>
        <w:t xml:space="preserve">el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P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lano de ubicación firmado por arquitecto o ingeniero civil, </w:t>
      </w:r>
      <w:r w:rsidR="00E314E8" w:rsidRPr="006B1727">
        <w:rPr>
          <w:rFonts w:ascii="Arial" w:hAnsi="Arial" w:cs="Arial"/>
          <w:sz w:val="19"/>
          <w:szCs w:val="19"/>
          <w:lang w:val="es-MX"/>
        </w:rPr>
        <w:t xml:space="preserve">el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P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lano de instalaciones sanitarias de agua desagüe visado por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i</w:t>
      </w:r>
      <w:r w:rsidRPr="006B1727">
        <w:rPr>
          <w:rFonts w:ascii="Arial" w:hAnsi="Arial" w:cs="Arial"/>
          <w:sz w:val="19"/>
          <w:szCs w:val="19"/>
          <w:lang w:val="es-MX"/>
        </w:rPr>
        <w:t>ng</w:t>
      </w:r>
      <w:r w:rsidR="001756A6" w:rsidRPr="006B1727">
        <w:rPr>
          <w:rFonts w:ascii="Arial" w:hAnsi="Arial" w:cs="Arial"/>
          <w:sz w:val="19"/>
          <w:szCs w:val="19"/>
          <w:lang w:val="es-MX"/>
        </w:rPr>
        <w:t>eniero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s</w:t>
      </w:r>
      <w:r w:rsidRPr="006B1727">
        <w:rPr>
          <w:rFonts w:ascii="Arial" w:hAnsi="Arial" w:cs="Arial"/>
          <w:sz w:val="19"/>
          <w:szCs w:val="19"/>
          <w:lang w:val="es-MX"/>
        </w:rPr>
        <w:t>anitario o profesional especializado y</w:t>
      </w:r>
      <w:r w:rsidRPr="006B1727">
        <w:rPr>
          <w:rFonts w:ascii="Arial" w:hAnsi="Arial" w:cs="Arial"/>
          <w:sz w:val="19"/>
          <w:szCs w:val="19"/>
        </w:rPr>
        <w:t xml:space="preserve"> </w:t>
      </w:r>
      <w:r w:rsidR="009F07C3" w:rsidRPr="006B1727">
        <w:rPr>
          <w:rFonts w:ascii="Arial" w:hAnsi="Arial" w:cs="Arial"/>
          <w:sz w:val="19"/>
          <w:szCs w:val="19"/>
          <w:lang w:val="es-MX"/>
        </w:rPr>
        <w:t xml:space="preserve">el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P</w:t>
      </w:r>
      <w:r w:rsidR="009F07C3" w:rsidRPr="006B1727">
        <w:rPr>
          <w:rFonts w:ascii="Arial" w:hAnsi="Arial" w:cs="Arial"/>
          <w:sz w:val="19"/>
          <w:szCs w:val="19"/>
          <w:lang w:val="es-MX"/>
        </w:rPr>
        <w:t xml:space="preserve">lan de Control de Análisis de </w:t>
      </w:r>
      <w:r w:rsidR="001756A6" w:rsidRPr="006B1727">
        <w:rPr>
          <w:rFonts w:ascii="Arial" w:hAnsi="Arial" w:cs="Arial"/>
          <w:sz w:val="19"/>
          <w:szCs w:val="19"/>
          <w:lang w:val="es-MX"/>
        </w:rPr>
        <w:t xml:space="preserve">Peligros y Control de Puntos Críticos </w:t>
      </w:r>
      <w:r w:rsidR="00D61D7C" w:rsidRPr="006B1727">
        <w:rPr>
          <w:rFonts w:ascii="Arial" w:hAnsi="Arial" w:cs="Arial"/>
          <w:sz w:val="19"/>
          <w:szCs w:val="19"/>
          <w:lang w:val="es-MX"/>
        </w:rPr>
        <w:t>solicitado para áreas de producción de moluscos bivalvos</w:t>
      </w:r>
      <w:r w:rsidR="00354D9C" w:rsidRPr="006B1727">
        <w:rPr>
          <w:rFonts w:ascii="Arial" w:hAnsi="Arial" w:cs="Arial"/>
          <w:sz w:val="19"/>
          <w:szCs w:val="19"/>
          <w:lang w:val="es-MX"/>
        </w:rPr>
        <w:t>,</w:t>
      </w:r>
      <w:r w:rsidR="00D61D7C" w:rsidRPr="006B1727">
        <w:rPr>
          <w:rFonts w:ascii="Arial" w:hAnsi="Arial" w:cs="Arial"/>
          <w:sz w:val="19"/>
          <w:szCs w:val="19"/>
          <w:lang w:val="es-MX"/>
        </w:rPr>
        <w:t xml:space="preserve"> </w:t>
      </w:r>
      <w:r w:rsidR="001756A6" w:rsidRPr="006B1727">
        <w:rPr>
          <w:rFonts w:ascii="Arial" w:hAnsi="Arial" w:cs="Arial"/>
          <w:sz w:val="19"/>
          <w:szCs w:val="19"/>
          <w:lang w:val="es-MX"/>
        </w:rPr>
        <w:t>en formato digital PDF</w:t>
      </w:r>
      <w:r w:rsidR="00354D9C" w:rsidRPr="006B1727">
        <w:rPr>
          <w:rFonts w:ascii="Arial" w:hAnsi="Arial" w:cs="Arial"/>
          <w:sz w:val="19"/>
          <w:szCs w:val="19"/>
          <w:lang w:val="es-MX"/>
        </w:rPr>
        <w:t>;</w:t>
      </w:r>
      <w:r w:rsidR="007F52DD" w:rsidRPr="006B1727">
        <w:rPr>
          <w:rFonts w:ascii="Arial" w:hAnsi="Arial" w:cs="Arial"/>
          <w:sz w:val="19"/>
          <w:szCs w:val="19"/>
          <w:lang w:val="es-MX"/>
        </w:rPr>
        <w:t xml:space="preserve"> requisitos antes necesarios del </w:t>
      </w:r>
      <w:r w:rsidR="007F52DD" w:rsidRPr="006B1727">
        <w:rPr>
          <w:rFonts w:ascii="Arial" w:eastAsia="Arial" w:hAnsi="Arial" w:cs="Arial"/>
          <w:sz w:val="19"/>
          <w:szCs w:val="19"/>
        </w:rPr>
        <w:t>Texto Único de Procedimientos Administrativos (TUPA) 13.</w:t>
      </w:r>
    </w:p>
    <w:p w:rsidR="00663380" w:rsidRPr="006B1727" w:rsidRDefault="00663380" w:rsidP="00DF40ED">
      <w:pPr>
        <w:jc w:val="both"/>
        <w:rPr>
          <w:rFonts w:ascii="Arial" w:hAnsi="Arial" w:cs="Arial"/>
          <w:sz w:val="10"/>
          <w:szCs w:val="10"/>
          <w:lang w:val="es-MX"/>
        </w:rPr>
      </w:pPr>
    </w:p>
    <w:p w:rsidR="00DF40ED" w:rsidRPr="006B1727" w:rsidRDefault="00DF40ED" w:rsidP="00DF40ED">
      <w:pPr>
        <w:pStyle w:val="Textocomentario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</w:rPr>
        <w:t xml:space="preserve">Cabe indicar que anteriormente, a través de la RPE </w:t>
      </w:r>
      <w:r w:rsidRPr="006B1727">
        <w:rPr>
          <w:rFonts w:ascii="Arial" w:hAnsi="Arial" w:cs="Arial"/>
          <w:sz w:val="19"/>
          <w:szCs w:val="19"/>
          <w:lang w:val="es-MX"/>
        </w:rPr>
        <w:t xml:space="preserve">N° 034-2021-SANIPES/PE, </w:t>
      </w:r>
      <w:r w:rsidRPr="006B1727">
        <w:rPr>
          <w:rFonts w:ascii="Arial" w:hAnsi="Arial" w:cs="Arial"/>
          <w:sz w:val="19"/>
          <w:szCs w:val="19"/>
        </w:rPr>
        <w:t>se habían eliminado los requisitos de presentación de certificado de habilidad y presentación de copia de resolución que otorga concesión o autorización y de la constancia de pago, con lo que ahora basta con citar el número de estos últimos.</w:t>
      </w:r>
    </w:p>
    <w:p w:rsidR="005B6DB3" w:rsidRPr="006B1727" w:rsidRDefault="005B6DB3" w:rsidP="00AF6906">
      <w:pPr>
        <w:jc w:val="both"/>
        <w:rPr>
          <w:rFonts w:ascii="Arial" w:hAnsi="Arial" w:cs="Arial"/>
          <w:sz w:val="10"/>
          <w:szCs w:val="10"/>
          <w:lang w:val="es-MX"/>
        </w:rPr>
      </w:pPr>
    </w:p>
    <w:p w:rsidR="0008379B" w:rsidRPr="006B1727" w:rsidRDefault="006316FA" w:rsidP="00AF6906">
      <w:pPr>
        <w:jc w:val="both"/>
        <w:rPr>
          <w:rFonts w:ascii="Arial" w:hAnsi="Arial" w:cs="Arial"/>
          <w:sz w:val="19"/>
          <w:szCs w:val="19"/>
          <w:lang w:val="es-MX"/>
        </w:rPr>
      </w:pPr>
      <w:r w:rsidRPr="006B1727">
        <w:rPr>
          <w:rFonts w:ascii="Arial" w:hAnsi="Arial" w:cs="Arial"/>
          <w:sz w:val="19"/>
          <w:szCs w:val="19"/>
          <w:lang w:val="es-MX"/>
        </w:rPr>
        <w:t>Es necesario resaltar que, tras las simplificaciones mencionadas, los administrados s</w:t>
      </w:r>
      <w:r w:rsidR="004C0BD8">
        <w:rPr>
          <w:rFonts w:ascii="Arial" w:hAnsi="Arial" w:cs="Arial"/>
          <w:sz w:val="19"/>
          <w:szCs w:val="19"/>
          <w:lang w:val="es-MX"/>
        </w:rPr>
        <w:t>ó</w:t>
      </w:r>
      <w:r w:rsidRPr="006B1727">
        <w:rPr>
          <w:rFonts w:ascii="Arial" w:hAnsi="Arial" w:cs="Arial"/>
          <w:sz w:val="19"/>
          <w:szCs w:val="19"/>
          <w:lang w:val="es-MX"/>
        </w:rPr>
        <w:t>lo deben presentar:</w:t>
      </w:r>
    </w:p>
    <w:p w:rsidR="006316FA" w:rsidRPr="006B1727" w:rsidRDefault="006316FA" w:rsidP="006316F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  <w:lang w:val="es-MX"/>
        </w:rPr>
        <w:t>Solicitud dirigida a la Dirección de Habilitaciones y Certificaciones</w:t>
      </w:r>
      <w:r w:rsidR="00BE7D60" w:rsidRPr="006B1727">
        <w:rPr>
          <w:rFonts w:ascii="Arial" w:hAnsi="Arial" w:cs="Arial"/>
          <w:sz w:val="19"/>
          <w:szCs w:val="19"/>
          <w:lang w:val="es-MX"/>
        </w:rPr>
        <w:t xml:space="preserve"> de Sanipes</w:t>
      </w:r>
      <w:r w:rsidRPr="006B1727">
        <w:rPr>
          <w:rFonts w:ascii="Arial" w:hAnsi="Arial" w:cs="Arial"/>
          <w:sz w:val="19"/>
          <w:szCs w:val="19"/>
          <w:lang w:val="es-MX"/>
        </w:rPr>
        <w:t>.</w:t>
      </w:r>
    </w:p>
    <w:p w:rsidR="006316FA" w:rsidRPr="006B1727" w:rsidRDefault="006316FA" w:rsidP="006316F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  <w:lang w:val="es-MX"/>
        </w:rPr>
        <w:t>Indicar N° de resolución emitida por DIREPRO o PRODUCE según sea el tipo de acuicultura a desarrollar (AMYPE o AMYGE).</w:t>
      </w:r>
    </w:p>
    <w:p w:rsidR="006316FA" w:rsidRPr="006B1727" w:rsidRDefault="006316FA" w:rsidP="006316F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  <w:lang w:val="es-MX"/>
        </w:rPr>
        <w:t>Programa de Buenas Prácticas Acuícolas (BPA).</w:t>
      </w:r>
    </w:p>
    <w:p w:rsidR="006316FA" w:rsidRPr="006B1727" w:rsidRDefault="006316FA" w:rsidP="006316F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  <w:lang w:val="es-MX"/>
        </w:rPr>
        <w:t>Programa de Higiene y Saneamiento (H&amp;S).</w:t>
      </w:r>
    </w:p>
    <w:p w:rsidR="006316FA" w:rsidRPr="006B1727" w:rsidRDefault="00BE7D60" w:rsidP="006316F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  <w:lang w:val="es-MX"/>
        </w:rPr>
        <w:t>Luego del abono por derecho de tramitación, i</w:t>
      </w:r>
      <w:r w:rsidR="006316FA" w:rsidRPr="006B1727">
        <w:rPr>
          <w:rFonts w:ascii="Arial" w:hAnsi="Arial" w:cs="Arial"/>
          <w:sz w:val="19"/>
          <w:szCs w:val="19"/>
          <w:lang w:val="es-MX"/>
        </w:rPr>
        <w:t>ndicar fecha y número de constancia de pago.</w:t>
      </w:r>
    </w:p>
    <w:p w:rsidR="0008379B" w:rsidRPr="006B1727" w:rsidRDefault="0008379B" w:rsidP="00AF6906">
      <w:pPr>
        <w:jc w:val="both"/>
        <w:rPr>
          <w:rFonts w:ascii="Arial" w:hAnsi="Arial" w:cs="Arial"/>
          <w:sz w:val="10"/>
          <w:szCs w:val="10"/>
          <w:lang w:val="es-MX"/>
        </w:rPr>
      </w:pPr>
    </w:p>
    <w:p w:rsidR="0008379B" w:rsidRPr="006B1727" w:rsidRDefault="00FA5ACB" w:rsidP="00AF6906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</w:rPr>
        <w:t xml:space="preserve">Sanipes </w:t>
      </w:r>
      <w:r w:rsidR="00BE7D60" w:rsidRPr="006B1727">
        <w:rPr>
          <w:rFonts w:ascii="Arial" w:hAnsi="Arial" w:cs="Arial"/>
          <w:sz w:val="19"/>
          <w:szCs w:val="19"/>
        </w:rPr>
        <w:t>busca</w:t>
      </w:r>
      <w:r w:rsidRPr="006B1727">
        <w:rPr>
          <w:rFonts w:ascii="Arial" w:hAnsi="Arial" w:cs="Arial"/>
          <w:sz w:val="19"/>
          <w:szCs w:val="19"/>
        </w:rPr>
        <w:t xml:space="preserve"> que estas simplificaciones, </w:t>
      </w:r>
      <w:r w:rsidR="00BE7D60" w:rsidRPr="006B1727">
        <w:rPr>
          <w:rFonts w:ascii="Arial" w:hAnsi="Arial" w:cs="Arial"/>
          <w:sz w:val="19"/>
          <w:szCs w:val="19"/>
        </w:rPr>
        <w:t xml:space="preserve">tengan impacto positivo en la economía de los administrados y </w:t>
      </w:r>
      <w:r w:rsidRPr="006B1727">
        <w:rPr>
          <w:rFonts w:ascii="Arial" w:hAnsi="Arial" w:cs="Arial"/>
          <w:sz w:val="19"/>
          <w:szCs w:val="19"/>
        </w:rPr>
        <w:t xml:space="preserve">sigan motivando a los acuicultores </w:t>
      </w:r>
      <w:r w:rsidR="0008379B" w:rsidRPr="006B1727">
        <w:rPr>
          <w:rFonts w:ascii="Arial" w:hAnsi="Arial" w:cs="Arial"/>
          <w:sz w:val="19"/>
          <w:szCs w:val="19"/>
        </w:rPr>
        <w:t>peruanos</w:t>
      </w:r>
      <w:r w:rsidRPr="006B1727">
        <w:rPr>
          <w:rFonts w:ascii="Arial" w:hAnsi="Arial" w:cs="Arial"/>
          <w:sz w:val="19"/>
          <w:szCs w:val="19"/>
        </w:rPr>
        <w:t>, a habilitar sanitariamente sus centros de producción acuícola, a fin de ser agentes activos de la inocuidad alimentaria</w:t>
      </w:r>
      <w:r w:rsidR="0008379B" w:rsidRPr="006B1727">
        <w:rPr>
          <w:rFonts w:ascii="Arial" w:hAnsi="Arial" w:cs="Arial"/>
          <w:sz w:val="19"/>
          <w:szCs w:val="19"/>
        </w:rPr>
        <w:t xml:space="preserve">, </w:t>
      </w:r>
      <w:r w:rsidRPr="006B1727">
        <w:rPr>
          <w:rFonts w:ascii="Arial" w:hAnsi="Arial" w:cs="Arial"/>
          <w:sz w:val="19"/>
          <w:szCs w:val="19"/>
        </w:rPr>
        <w:t>ofreciendo productos seguros al país y al mundo</w:t>
      </w:r>
      <w:r w:rsidR="0008379B" w:rsidRPr="006B1727">
        <w:rPr>
          <w:rFonts w:ascii="Arial" w:hAnsi="Arial" w:cs="Arial"/>
          <w:sz w:val="19"/>
          <w:szCs w:val="19"/>
        </w:rPr>
        <w:t>.</w:t>
      </w:r>
    </w:p>
    <w:p w:rsidR="0008379B" w:rsidRPr="006B1727" w:rsidRDefault="0008379B" w:rsidP="00AF6906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0"/>
          <w:szCs w:val="10"/>
        </w:rPr>
      </w:pPr>
    </w:p>
    <w:p w:rsidR="0008379B" w:rsidRPr="006B1727" w:rsidRDefault="0008379B" w:rsidP="00AF6906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19"/>
          <w:szCs w:val="19"/>
        </w:rPr>
      </w:pPr>
      <w:r w:rsidRPr="006B1727">
        <w:rPr>
          <w:rFonts w:ascii="Arial" w:hAnsi="Arial" w:cs="Arial"/>
          <w:b/>
          <w:sz w:val="19"/>
          <w:szCs w:val="19"/>
        </w:rPr>
        <w:t>Título habilitante</w:t>
      </w:r>
    </w:p>
    <w:p w:rsidR="0008379B" w:rsidRPr="006B1727" w:rsidRDefault="0008379B" w:rsidP="00AF6906">
      <w:pPr>
        <w:jc w:val="both"/>
        <w:rPr>
          <w:sz w:val="19"/>
          <w:szCs w:val="19"/>
        </w:rPr>
      </w:pPr>
      <w:r w:rsidRPr="006B1727">
        <w:rPr>
          <w:rFonts w:ascii="Arial" w:hAnsi="Arial" w:cs="Arial"/>
          <w:sz w:val="19"/>
          <w:szCs w:val="19"/>
        </w:rPr>
        <w:t xml:space="preserve">La Habilitación Sanitaria de los centros de producción acuícola, es un procedimiento que se encuentra contemplado en el TUPA de Sanipes, aprobado mediante D.S. N° 025-2015-PRODUCE, es así que el procedimiento N° 13, señala los requisitos que una persona </w:t>
      </w:r>
      <w:r w:rsidR="00DF40ED" w:rsidRPr="006B1727">
        <w:rPr>
          <w:rFonts w:ascii="Arial" w:hAnsi="Arial" w:cs="Arial"/>
          <w:sz w:val="19"/>
          <w:szCs w:val="19"/>
        </w:rPr>
        <w:t xml:space="preserve">natural o jurícia </w:t>
      </w:r>
      <w:r w:rsidRPr="006B1727">
        <w:rPr>
          <w:rFonts w:ascii="Arial" w:hAnsi="Arial" w:cs="Arial"/>
          <w:sz w:val="19"/>
          <w:szCs w:val="19"/>
        </w:rPr>
        <w:t xml:space="preserve">debe presentar ante la autoridad sanitaria para solicitar el protocolo técnico </w:t>
      </w:r>
      <w:r w:rsidR="00DF40ED" w:rsidRPr="006B1727">
        <w:rPr>
          <w:rFonts w:ascii="Arial" w:hAnsi="Arial" w:cs="Arial"/>
          <w:sz w:val="19"/>
          <w:szCs w:val="19"/>
        </w:rPr>
        <w:t xml:space="preserve">para la </w:t>
      </w:r>
      <w:r w:rsidRPr="006B1727">
        <w:rPr>
          <w:rFonts w:ascii="Arial" w:hAnsi="Arial" w:cs="Arial"/>
          <w:sz w:val="19"/>
          <w:szCs w:val="19"/>
        </w:rPr>
        <w:t>habilita</w:t>
      </w:r>
      <w:r w:rsidR="00DF40ED" w:rsidRPr="006B1727">
        <w:rPr>
          <w:rFonts w:ascii="Arial" w:hAnsi="Arial" w:cs="Arial"/>
          <w:sz w:val="19"/>
          <w:szCs w:val="19"/>
        </w:rPr>
        <w:t>ción</w:t>
      </w:r>
      <w:r w:rsidRPr="006B1727">
        <w:rPr>
          <w:rFonts w:ascii="Arial" w:hAnsi="Arial" w:cs="Arial"/>
          <w:sz w:val="19"/>
          <w:szCs w:val="19"/>
        </w:rPr>
        <w:t xml:space="preserve"> sanitari</w:t>
      </w:r>
      <w:r w:rsidR="00DF40ED" w:rsidRPr="006B1727">
        <w:rPr>
          <w:rFonts w:ascii="Arial" w:hAnsi="Arial" w:cs="Arial"/>
          <w:sz w:val="19"/>
          <w:szCs w:val="19"/>
        </w:rPr>
        <w:t>a</w:t>
      </w:r>
      <w:r w:rsidRPr="006B1727">
        <w:rPr>
          <w:rFonts w:ascii="Arial" w:hAnsi="Arial" w:cs="Arial"/>
          <w:sz w:val="19"/>
          <w:szCs w:val="19"/>
        </w:rPr>
        <w:t xml:space="preserve"> de su infraestructura acuícola </w:t>
      </w:r>
      <w:r w:rsidR="00AF6906" w:rsidRPr="006B1727">
        <w:rPr>
          <w:rFonts w:ascii="Arial" w:hAnsi="Arial" w:cs="Arial"/>
          <w:sz w:val="19"/>
          <w:szCs w:val="19"/>
        </w:rPr>
        <w:t xml:space="preserve">de </w:t>
      </w:r>
      <w:r w:rsidR="00AF6906" w:rsidRPr="006B1727">
        <w:rPr>
          <w:rFonts w:ascii="Arial" w:hAnsi="Arial" w:cs="Arial"/>
          <w:bCs/>
          <w:color w:val="202124"/>
          <w:sz w:val="19"/>
          <w:szCs w:val="19"/>
          <w:shd w:val="clear" w:color="auto" w:fill="FFFFFF"/>
        </w:rPr>
        <w:t>Acuicultura de Micro y Pequeña Empresa</w:t>
      </w:r>
      <w:r w:rsidR="00AF6906" w:rsidRPr="006B1727">
        <w:rPr>
          <w:sz w:val="19"/>
          <w:szCs w:val="19"/>
        </w:rPr>
        <w:t xml:space="preserve"> </w:t>
      </w:r>
      <w:r w:rsidRPr="006B1727">
        <w:rPr>
          <w:rFonts w:ascii="Arial" w:hAnsi="Arial" w:cs="Arial"/>
          <w:sz w:val="19"/>
          <w:szCs w:val="19"/>
        </w:rPr>
        <w:t>(AMYPE</w:t>
      </w:r>
      <w:r w:rsidR="00AF6906" w:rsidRPr="006B1727">
        <w:rPr>
          <w:rFonts w:ascii="Arial" w:hAnsi="Arial" w:cs="Arial"/>
          <w:sz w:val="19"/>
          <w:szCs w:val="19"/>
        </w:rPr>
        <w:t>)</w:t>
      </w:r>
      <w:r w:rsidRPr="006B1727">
        <w:rPr>
          <w:rFonts w:ascii="Arial" w:hAnsi="Arial" w:cs="Arial"/>
          <w:sz w:val="19"/>
          <w:szCs w:val="19"/>
        </w:rPr>
        <w:t xml:space="preserve"> y</w:t>
      </w:r>
      <w:r w:rsidR="00AF6906" w:rsidRPr="006B1727">
        <w:rPr>
          <w:rFonts w:ascii="Arial" w:hAnsi="Arial" w:cs="Arial"/>
          <w:sz w:val="19"/>
          <w:szCs w:val="19"/>
        </w:rPr>
        <w:t>/o</w:t>
      </w:r>
      <w:r w:rsidRPr="006B1727">
        <w:rPr>
          <w:rFonts w:ascii="Arial" w:hAnsi="Arial" w:cs="Arial"/>
          <w:sz w:val="19"/>
          <w:szCs w:val="19"/>
        </w:rPr>
        <w:t xml:space="preserve"> </w:t>
      </w:r>
      <w:r w:rsidR="00AF6906" w:rsidRPr="006B1727">
        <w:rPr>
          <w:rFonts w:ascii="Arial" w:hAnsi="Arial" w:cs="Arial"/>
          <w:bCs/>
          <w:color w:val="202124"/>
          <w:sz w:val="19"/>
          <w:szCs w:val="19"/>
          <w:shd w:val="clear" w:color="auto" w:fill="FFFFFF"/>
        </w:rPr>
        <w:t xml:space="preserve">Acuicultura de Mediana y Gran Empresa </w:t>
      </w:r>
      <w:r w:rsidR="00AF6906" w:rsidRPr="006B1727">
        <w:rPr>
          <w:rFonts w:ascii="Arial" w:hAnsi="Arial" w:cs="Arial"/>
          <w:sz w:val="19"/>
          <w:szCs w:val="19"/>
        </w:rPr>
        <w:t>(</w:t>
      </w:r>
      <w:r w:rsidRPr="006B1727">
        <w:rPr>
          <w:rFonts w:ascii="Arial" w:hAnsi="Arial" w:cs="Arial"/>
          <w:sz w:val="19"/>
          <w:szCs w:val="19"/>
        </w:rPr>
        <w:t>AMYGE).</w:t>
      </w:r>
    </w:p>
    <w:p w:rsidR="0008379B" w:rsidRPr="006B1727" w:rsidRDefault="0008379B" w:rsidP="00AF6906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0"/>
          <w:szCs w:val="10"/>
        </w:rPr>
      </w:pPr>
    </w:p>
    <w:p w:rsidR="0008379B" w:rsidRPr="006B1727" w:rsidRDefault="00AF6906" w:rsidP="00AF6906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</w:rPr>
        <w:t>Bajo esto, los productores de especies provenientes de la acuicultura, deb</w:t>
      </w:r>
      <w:bookmarkStart w:id="0" w:name="_GoBack"/>
      <w:bookmarkEnd w:id="0"/>
      <w:r w:rsidRPr="006B1727">
        <w:rPr>
          <w:rFonts w:ascii="Arial" w:hAnsi="Arial" w:cs="Arial"/>
          <w:sz w:val="19"/>
          <w:szCs w:val="19"/>
        </w:rPr>
        <w:t>en implementar en sus centros de cultivo una serie de programas, destacando el de buenas pr</w:t>
      </w:r>
      <w:r w:rsidR="004C0BD8">
        <w:rPr>
          <w:rFonts w:ascii="Arial" w:hAnsi="Arial" w:cs="Arial"/>
          <w:sz w:val="19"/>
          <w:szCs w:val="19"/>
        </w:rPr>
        <w:t>á</w:t>
      </w:r>
      <w:r w:rsidRPr="006B1727">
        <w:rPr>
          <w:rFonts w:ascii="Arial" w:hAnsi="Arial" w:cs="Arial"/>
          <w:sz w:val="19"/>
          <w:szCs w:val="19"/>
        </w:rPr>
        <w:t>cticas acuícolas, higiene y saneamiento</w:t>
      </w:r>
      <w:r w:rsidR="008910DD" w:rsidRPr="006B1727">
        <w:rPr>
          <w:rFonts w:ascii="Arial" w:hAnsi="Arial" w:cs="Arial"/>
          <w:sz w:val="19"/>
          <w:szCs w:val="19"/>
        </w:rPr>
        <w:t xml:space="preserve">, </w:t>
      </w:r>
      <w:r w:rsidRPr="006B1727">
        <w:rPr>
          <w:rFonts w:ascii="Arial" w:hAnsi="Arial" w:cs="Arial"/>
          <w:sz w:val="19"/>
          <w:szCs w:val="19"/>
        </w:rPr>
        <w:t>a fin de garantizar la producción y comercialización de productos inocuos.</w:t>
      </w:r>
    </w:p>
    <w:p w:rsidR="00AF6906" w:rsidRPr="006B1727" w:rsidRDefault="00AF6906" w:rsidP="00AF690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A0614" w:rsidRPr="006B1727" w:rsidRDefault="007A0614" w:rsidP="00AF6906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6B1727">
        <w:rPr>
          <w:rFonts w:ascii="Arial" w:hAnsi="Arial" w:cs="Arial"/>
          <w:b/>
          <w:sz w:val="19"/>
          <w:szCs w:val="19"/>
        </w:rPr>
        <w:t>Predicciones de la FAO</w:t>
      </w:r>
    </w:p>
    <w:p w:rsidR="00BE7D60" w:rsidRPr="006B1727" w:rsidRDefault="00611AFC" w:rsidP="00BE7D60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6B1727">
        <w:rPr>
          <w:rFonts w:ascii="Arial" w:hAnsi="Arial" w:cs="Arial"/>
          <w:sz w:val="19"/>
          <w:szCs w:val="19"/>
        </w:rPr>
        <w:t xml:space="preserve">En relación a la pesca y la acuicultura hacia el 2030, </w:t>
      </w:r>
      <w:r w:rsidR="00BE7D60" w:rsidRPr="006B1727">
        <w:rPr>
          <w:rFonts w:ascii="Arial" w:hAnsi="Arial" w:cs="Arial"/>
          <w:sz w:val="19"/>
          <w:szCs w:val="19"/>
        </w:rPr>
        <w:t xml:space="preserve">la </w:t>
      </w:r>
      <w:r w:rsidR="007A0614" w:rsidRPr="006B1727">
        <w:rPr>
          <w:rFonts w:ascii="Arial" w:hAnsi="Arial" w:cs="Arial"/>
          <w:sz w:val="19"/>
          <w:szCs w:val="19"/>
        </w:rPr>
        <w:t>Organización de las Naciones Unidas para la Alimentación y la Agricultura (</w:t>
      </w:r>
      <w:r w:rsidR="00BE7D60" w:rsidRPr="006B1727">
        <w:rPr>
          <w:rFonts w:ascii="Arial" w:hAnsi="Arial" w:cs="Arial"/>
          <w:sz w:val="19"/>
          <w:szCs w:val="19"/>
        </w:rPr>
        <w:t>FAO</w:t>
      </w:r>
      <w:r w:rsidR="007A0614" w:rsidRPr="006B1727">
        <w:rPr>
          <w:rFonts w:ascii="Arial" w:hAnsi="Arial" w:cs="Arial"/>
          <w:sz w:val="19"/>
          <w:szCs w:val="19"/>
        </w:rPr>
        <w:t>)</w:t>
      </w:r>
      <w:r w:rsidR="00BE7D60" w:rsidRPr="006B1727">
        <w:rPr>
          <w:rFonts w:ascii="Arial" w:hAnsi="Arial" w:cs="Arial"/>
          <w:sz w:val="19"/>
          <w:szCs w:val="19"/>
        </w:rPr>
        <w:t>, apunta a un incremento de la producción, el consumo y el comercio</w:t>
      </w:r>
      <w:r w:rsidR="008D796E" w:rsidRPr="006B1727">
        <w:rPr>
          <w:rFonts w:ascii="Arial" w:hAnsi="Arial" w:cs="Arial"/>
          <w:sz w:val="19"/>
          <w:szCs w:val="19"/>
        </w:rPr>
        <w:t>;</w:t>
      </w:r>
      <w:r w:rsidR="00BE7D60" w:rsidRPr="006B1727">
        <w:rPr>
          <w:rFonts w:ascii="Arial" w:hAnsi="Arial" w:cs="Arial"/>
          <w:sz w:val="19"/>
          <w:szCs w:val="19"/>
        </w:rPr>
        <w:t xml:space="preserve"> espera</w:t>
      </w:r>
      <w:r w:rsidR="008D796E" w:rsidRPr="006B1727">
        <w:rPr>
          <w:rFonts w:ascii="Arial" w:hAnsi="Arial" w:cs="Arial"/>
          <w:sz w:val="19"/>
          <w:szCs w:val="19"/>
        </w:rPr>
        <w:t>ndo</w:t>
      </w:r>
      <w:r w:rsidR="00BE7D60" w:rsidRPr="006B1727">
        <w:rPr>
          <w:rFonts w:ascii="Arial" w:hAnsi="Arial" w:cs="Arial"/>
          <w:sz w:val="19"/>
          <w:szCs w:val="19"/>
        </w:rPr>
        <w:t xml:space="preserve"> que la producción total de animales acuáticos alcance los 202 millones de toneladas y que el principal incremento provenga de la acuicultura, que contribuiría con 106 millones de toneladas.</w:t>
      </w:r>
    </w:p>
    <w:p w:rsidR="00AF6906" w:rsidRPr="006B1727" w:rsidRDefault="00AF6906" w:rsidP="00AF6906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042D3F" w:rsidRPr="006B1727" w:rsidRDefault="003926E8">
      <w:pPr>
        <w:jc w:val="both"/>
        <w:rPr>
          <w:rFonts w:ascii="Arial" w:eastAsia="Arial" w:hAnsi="Arial" w:cs="Arial"/>
          <w:sz w:val="19"/>
          <w:szCs w:val="19"/>
        </w:rPr>
      </w:pPr>
      <w:r w:rsidRPr="006B1727">
        <w:rPr>
          <w:rFonts w:ascii="Arial" w:eastAsia="Arial" w:hAnsi="Arial" w:cs="Arial"/>
          <w:sz w:val="19"/>
          <w:szCs w:val="19"/>
        </w:rPr>
        <w:t>Agradecemos su difusión.</w:t>
      </w:r>
    </w:p>
    <w:p w:rsidR="006B1727" w:rsidRPr="006B1727" w:rsidRDefault="006B1727">
      <w:pPr>
        <w:jc w:val="both"/>
        <w:rPr>
          <w:rFonts w:ascii="Arial" w:eastAsia="Arial" w:hAnsi="Arial" w:cs="Arial"/>
          <w:sz w:val="19"/>
          <w:szCs w:val="19"/>
        </w:rPr>
      </w:pPr>
    </w:p>
    <w:sectPr w:rsidR="006B1727" w:rsidRPr="006B1727">
      <w:headerReference w:type="default" r:id="rId8"/>
      <w:footerReference w:type="default" r:id="rId9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AD" w:rsidRDefault="00DF18AD">
      <w:r>
        <w:separator/>
      </w:r>
    </w:p>
  </w:endnote>
  <w:endnote w:type="continuationSeparator" w:id="0">
    <w:p w:rsidR="00DF18AD" w:rsidRDefault="00D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3F" w:rsidRDefault="003926E8">
    <w:pPr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-323</wp:posOffset>
          </wp:positionV>
          <wp:extent cx="1193800" cy="770255"/>
          <wp:effectExtent l="0" t="0" r="0" b="0"/>
          <wp:wrapNone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2D3F" w:rsidRDefault="00392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:rsidR="00042D3F" w:rsidRDefault="00392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AD" w:rsidRDefault="00DF18AD">
      <w:r>
        <w:separator/>
      </w:r>
    </w:p>
  </w:footnote>
  <w:footnote w:type="continuationSeparator" w:id="0">
    <w:p w:rsidR="00DF18AD" w:rsidRDefault="00DF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3F" w:rsidRDefault="00392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-427043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47" name="image2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48" name="image4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2D3F" w:rsidRDefault="00042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042D3F" w:rsidRDefault="00042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042D3F" w:rsidRDefault="00042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042D3F" w:rsidRDefault="00042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042D3F" w:rsidRDefault="00042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042D3F" w:rsidRDefault="00392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042D3F" w:rsidRDefault="00392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:rsidR="00042D3F" w:rsidRDefault="00392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:rsidR="00042D3F" w:rsidRDefault="00042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5F53"/>
    <w:multiLevelType w:val="hybridMultilevel"/>
    <w:tmpl w:val="74DC7960"/>
    <w:lvl w:ilvl="0" w:tplc="BE94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02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03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2E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E0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07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84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24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26F4B"/>
    <w:multiLevelType w:val="multilevel"/>
    <w:tmpl w:val="BBD67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B02E1F"/>
    <w:multiLevelType w:val="hybridMultilevel"/>
    <w:tmpl w:val="D91CBA4E"/>
    <w:lvl w:ilvl="0" w:tplc="1F543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3F"/>
    <w:rsid w:val="00042D3F"/>
    <w:rsid w:val="0008379B"/>
    <w:rsid w:val="00132510"/>
    <w:rsid w:val="00150730"/>
    <w:rsid w:val="001756A6"/>
    <w:rsid w:val="00344D0B"/>
    <w:rsid w:val="00354D9C"/>
    <w:rsid w:val="003926E8"/>
    <w:rsid w:val="004C0BD8"/>
    <w:rsid w:val="00536486"/>
    <w:rsid w:val="005B6DB3"/>
    <w:rsid w:val="00611AFC"/>
    <w:rsid w:val="006316FA"/>
    <w:rsid w:val="00663380"/>
    <w:rsid w:val="006B1727"/>
    <w:rsid w:val="00722915"/>
    <w:rsid w:val="0072504F"/>
    <w:rsid w:val="007A0614"/>
    <w:rsid w:val="007F52DD"/>
    <w:rsid w:val="00803D60"/>
    <w:rsid w:val="008910DD"/>
    <w:rsid w:val="008D796E"/>
    <w:rsid w:val="00941929"/>
    <w:rsid w:val="0098097D"/>
    <w:rsid w:val="009F07C3"/>
    <w:rsid w:val="00AF6906"/>
    <w:rsid w:val="00BE00E7"/>
    <w:rsid w:val="00BE7D60"/>
    <w:rsid w:val="00BF3EA4"/>
    <w:rsid w:val="00D61D7C"/>
    <w:rsid w:val="00DF18AD"/>
    <w:rsid w:val="00DF40ED"/>
    <w:rsid w:val="00E314E8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91AA6"/>
  <w15:docId w15:val="{66D098FC-A4AE-364E-9D55-5C28694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06"/>
    <w:rPr>
      <w:lang w:val="es-PE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eastAsia="es-PE"/>
    </w:rPr>
  </w:style>
  <w:style w:type="character" w:styleId="Hipervnculo">
    <w:name w:val="Hyperlink"/>
    <w:basedOn w:val="Fuentedeprrafopredeter"/>
    <w:uiPriority w:val="99"/>
    <w:unhideWhenUsed/>
    <w:rsid w:val="00C41D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65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65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60D89"/>
  </w:style>
  <w:style w:type="character" w:customStyle="1" w:styleId="eop">
    <w:name w:val="eop"/>
    <w:basedOn w:val="Fuentedeprrafopredeter"/>
    <w:rsid w:val="00C60D89"/>
  </w:style>
  <w:style w:type="paragraph" w:styleId="Textoindependiente">
    <w:name w:val="Body Text"/>
    <w:basedOn w:val="Normal"/>
    <w:link w:val="TextoindependienteCar"/>
    <w:uiPriority w:val="1"/>
    <w:qFormat/>
    <w:rsid w:val="0007580C"/>
    <w:pPr>
      <w:widowControl w:val="0"/>
      <w:autoSpaceDE w:val="0"/>
      <w:autoSpaceDN w:val="0"/>
      <w:ind w:left="669" w:hanging="428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580C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paragraph">
    <w:name w:val="paragraph"/>
    <w:basedOn w:val="Normal"/>
    <w:rsid w:val="00F6283B"/>
    <w:pPr>
      <w:spacing w:before="100" w:beforeAutospacing="1" w:after="100" w:afterAutospacing="1"/>
    </w:pPr>
    <w:rPr>
      <w:lang w:eastAsia="es-PE"/>
    </w:rPr>
  </w:style>
  <w:style w:type="paragraph" w:customStyle="1" w:styleId="Cuadrculaclara-nfasis31">
    <w:name w:val="Cuadrícula clara - Énfasis 31"/>
    <w:basedOn w:val="Normal"/>
    <w:uiPriority w:val="34"/>
    <w:qFormat/>
    <w:rsid w:val="008A0968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eastAsia="ja-JP"/>
    </w:rPr>
  </w:style>
  <w:style w:type="paragraph" w:customStyle="1" w:styleId="Cuadrculamediana2-nfasis11">
    <w:name w:val="Cuadrícula mediana 2 - Énfasis 11"/>
    <w:uiPriority w:val="1"/>
    <w:qFormat/>
    <w:rsid w:val="008A0968"/>
    <w:rPr>
      <w:rFonts w:ascii="Calibri" w:eastAsia="Yu Mincho" w:hAnsi="Calibri"/>
      <w:sz w:val="22"/>
      <w:szCs w:val="22"/>
      <w:lang w:val="es-PE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16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16FA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16FA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40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40ED"/>
    <w:rPr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kvanlrnnn3pWPNSMoWHoiLwzw==">AMUW2mUU2WUpdRf8adRRBaQ3BIacKBptaoMJCptRX0WMUnM5e06mNzhuZLuMzAEJZf0IMvm8WfNffUDKzljpfXQHVWFtigeZDM2XFfyGSWh4d7L51heraRE=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Usuario de Microsoft Office</cp:lastModifiedBy>
  <cp:revision>20</cp:revision>
  <dcterms:created xsi:type="dcterms:W3CDTF">2022-10-28T20:14:00Z</dcterms:created>
  <dcterms:modified xsi:type="dcterms:W3CDTF">2022-12-27T15:57:00Z</dcterms:modified>
</cp:coreProperties>
</file>