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D4" w:rsidRDefault="00EC19D4">
      <w:pPr>
        <w:spacing w:after="0" w:line="240" w:lineRule="auto"/>
        <w:ind w:left="0" w:hanging="2"/>
        <w:jc w:val="center"/>
        <w:rPr>
          <w:rFonts w:ascii="Times New Roman" w:eastAsia="Times New Roman" w:hAnsi="Times New Roman" w:cs="Times New Roman"/>
          <w:sz w:val="24"/>
          <w:szCs w:val="24"/>
        </w:rPr>
      </w:pPr>
    </w:p>
    <w:p w:rsidR="00EC19D4" w:rsidRDefault="00F94F9A">
      <w:pPr>
        <w:ind w:left="0" w:hanging="2"/>
        <w:jc w:val="center"/>
        <w:rPr>
          <w:rFonts w:ascii="Arial" w:eastAsia="Arial" w:hAnsi="Arial" w:cs="Arial"/>
          <w:b/>
          <w:u w:val="single"/>
        </w:rPr>
      </w:pPr>
      <w:r>
        <w:rPr>
          <w:rFonts w:ascii="Arial" w:eastAsia="Arial" w:hAnsi="Arial" w:cs="Arial"/>
          <w:b/>
          <w:u w:val="single"/>
        </w:rPr>
        <w:t>Nota de Prensa</w:t>
      </w:r>
      <w:r w:rsidR="00756B75">
        <w:rPr>
          <w:rFonts w:ascii="Arial" w:eastAsia="Arial" w:hAnsi="Arial" w:cs="Arial"/>
          <w:b/>
          <w:u w:val="single"/>
        </w:rPr>
        <w:t xml:space="preserve"> </w:t>
      </w:r>
    </w:p>
    <w:p w:rsidR="00EC19D4" w:rsidRPr="005D05E9" w:rsidRDefault="00F94F9A" w:rsidP="005D05E9">
      <w:pPr>
        <w:pStyle w:val="Sinespaciado"/>
        <w:ind w:left="1" w:hanging="3"/>
        <w:jc w:val="center"/>
        <w:rPr>
          <w:rFonts w:ascii="Arial" w:hAnsi="Arial" w:cs="Arial"/>
          <w:b/>
          <w:sz w:val="32"/>
          <w:szCs w:val="32"/>
        </w:rPr>
      </w:pPr>
      <w:r w:rsidRPr="005D05E9">
        <w:rPr>
          <w:rFonts w:ascii="Arial" w:hAnsi="Arial" w:cs="Arial"/>
          <w:b/>
          <w:sz w:val="32"/>
          <w:szCs w:val="32"/>
        </w:rPr>
        <w:t>Sanipes implementa</w:t>
      </w:r>
      <w:r w:rsidR="005D05E9" w:rsidRPr="005D05E9">
        <w:rPr>
          <w:rFonts w:ascii="Arial" w:hAnsi="Arial" w:cs="Arial"/>
          <w:b/>
          <w:sz w:val="32"/>
          <w:szCs w:val="32"/>
        </w:rPr>
        <w:t xml:space="preserve"> Portal de Datos Abiertos registrando 10 mil capacitados en normativa pesquera y acuícola el 2022</w:t>
      </w:r>
    </w:p>
    <w:p w:rsidR="005D05E9" w:rsidRPr="005D05E9" w:rsidRDefault="005D05E9" w:rsidP="005D05E9">
      <w:pPr>
        <w:pStyle w:val="Sinespaciado"/>
        <w:ind w:leftChars="128" w:left="284" w:right="282" w:hanging="2"/>
        <w:jc w:val="both"/>
        <w:rPr>
          <w:rFonts w:ascii="Arial" w:hAnsi="Arial" w:cs="Arial"/>
          <w:i/>
          <w:color w:val="000000" w:themeColor="text1"/>
          <w:sz w:val="20"/>
          <w:szCs w:val="20"/>
          <w:shd w:val="clear" w:color="auto" w:fill="FFFFFF"/>
        </w:rPr>
      </w:pPr>
      <w:r w:rsidRPr="005D05E9">
        <w:rPr>
          <w:rFonts w:ascii="Arial" w:hAnsi="Arial" w:cs="Arial"/>
          <w:i/>
          <w:sz w:val="20"/>
          <w:szCs w:val="20"/>
          <w:lang w:eastAsia="es-PE"/>
        </w:rPr>
        <w:t>La plataforma digital</w:t>
      </w:r>
      <w:r>
        <w:rPr>
          <w:rFonts w:ascii="Arial" w:hAnsi="Arial" w:cs="Arial"/>
          <w:i/>
          <w:sz w:val="20"/>
          <w:szCs w:val="20"/>
          <w:lang w:eastAsia="es-PE"/>
        </w:rPr>
        <w:t xml:space="preserve"> </w:t>
      </w:r>
      <w:r w:rsidRPr="005D05E9">
        <w:rPr>
          <w:rFonts w:ascii="Arial" w:hAnsi="Arial" w:cs="Arial"/>
          <w:i/>
          <w:sz w:val="20"/>
          <w:szCs w:val="20"/>
        </w:rPr>
        <w:t>desarrolla una oferta de información pública</w:t>
      </w:r>
      <w:r w:rsidRPr="005D05E9">
        <w:rPr>
          <w:rFonts w:ascii="Arial" w:hAnsi="Arial" w:cs="Arial"/>
          <w:i/>
          <w:sz w:val="20"/>
          <w:szCs w:val="20"/>
          <w:lang w:eastAsia="es-PE"/>
        </w:rPr>
        <w:t xml:space="preserve"> para almacenar, compartir, conectar y visualizar bases de datos de la entidad, siendo punto de encuentro para la organización, empresas, ciudadanos y desarrolladores informáticos.</w:t>
      </w:r>
      <w:r w:rsidRPr="005D05E9">
        <w:rPr>
          <w:rFonts w:ascii="Arial" w:hAnsi="Arial" w:cs="Arial"/>
          <w:i/>
          <w:color w:val="000000" w:themeColor="text1"/>
          <w:sz w:val="20"/>
          <w:szCs w:val="20"/>
          <w:shd w:val="clear" w:color="auto" w:fill="FFFFFF"/>
        </w:rPr>
        <w:t xml:space="preserve"> </w:t>
      </w:r>
    </w:p>
    <w:p w:rsidR="005D05E9" w:rsidRPr="005D05E9" w:rsidRDefault="005D05E9" w:rsidP="005D05E9">
      <w:pPr>
        <w:pStyle w:val="Sinespaciado"/>
        <w:ind w:left="0" w:hanging="2"/>
        <w:jc w:val="both"/>
        <w:rPr>
          <w:rFonts w:ascii="Arial" w:hAnsi="Arial" w:cs="Arial"/>
          <w:color w:val="000000" w:themeColor="text1"/>
          <w:sz w:val="20"/>
          <w:szCs w:val="20"/>
          <w:shd w:val="clear" w:color="auto" w:fill="FFFFFF"/>
        </w:rPr>
      </w:pPr>
    </w:p>
    <w:p w:rsidR="005D05E9" w:rsidRPr="005D05E9" w:rsidRDefault="005D05E9" w:rsidP="005D05E9">
      <w:pPr>
        <w:pStyle w:val="Sinespaciado"/>
        <w:ind w:left="0" w:hanging="2"/>
        <w:jc w:val="both"/>
        <w:rPr>
          <w:rFonts w:ascii="Arial" w:hAnsi="Arial" w:cs="Arial"/>
          <w:color w:val="000000" w:themeColor="text1"/>
          <w:sz w:val="20"/>
          <w:szCs w:val="20"/>
          <w:shd w:val="clear" w:color="auto" w:fill="FFFFFF"/>
        </w:rPr>
      </w:pPr>
      <w:r w:rsidRPr="005D05E9">
        <w:rPr>
          <w:rFonts w:ascii="Arial" w:hAnsi="Arial" w:cs="Arial"/>
          <w:color w:val="000000" w:themeColor="text1"/>
          <w:sz w:val="20"/>
          <w:szCs w:val="20"/>
          <w:shd w:val="clear" w:color="auto" w:fill="FFFFFF"/>
        </w:rPr>
        <w:t xml:space="preserve">El Organismo Nacional de Sanidad Pesquera (Sanipes), adscrito al Ministerio de la Producción, eleva el nivel de transparencia y uso de las tecnologías de la información, con la implementación de la </w:t>
      </w:r>
      <w:r w:rsidRPr="005D05E9">
        <w:rPr>
          <w:rFonts w:ascii="Arial" w:hAnsi="Arial" w:cs="Arial"/>
          <w:b/>
          <w:color w:val="000000" w:themeColor="text1"/>
          <w:sz w:val="20"/>
          <w:szCs w:val="20"/>
          <w:shd w:val="clear" w:color="auto" w:fill="FFFFFF"/>
        </w:rPr>
        <w:t>Plataforma de Datos Abiertos</w:t>
      </w:r>
      <w:r w:rsidRPr="005D05E9">
        <w:rPr>
          <w:rFonts w:ascii="Arial" w:hAnsi="Arial" w:cs="Arial"/>
          <w:color w:val="000000" w:themeColor="text1"/>
          <w:sz w:val="20"/>
          <w:szCs w:val="20"/>
          <w:shd w:val="clear" w:color="auto" w:fill="FFFFFF"/>
        </w:rPr>
        <w:t>, que permitirá compartir con la ciudadanía, datos institucionales en formato digital, entre ellos, instrumentos de gestión técnicos y normativos, como, el registro de capacitaciones virtuales y presenciales realizadas a nivel nacional sobre la normativa sanitaria en pesca y acuicultura.</w:t>
      </w:r>
    </w:p>
    <w:p w:rsidR="005D05E9" w:rsidRPr="005D05E9" w:rsidRDefault="005D05E9" w:rsidP="005D05E9">
      <w:pPr>
        <w:pStyle w:val="Sinespaciado"/>
        <w:jc w:val="both"/>
        <w:rPr>
          <w:rFonts w:ascii="Arial" w:hAnsi="Arial" w:cs="Arial"/>
          <w:sz w:val="10"/>
          <w:szCs w:val="10"/>
        </w:rPr>
      </w:pPr>
    </w:p>
    <w:p w:rsidR="005D05E9" w:rsidRPr="005D05E9" w:rsidRDefault="005D05E9" w:rsidP="005D05E9">
      <w:pPr>
        <w:pStyle w:val="Sinespaciado"/>
        <w:ind w:left="0" w:hanging="2"/>
        <w:jc w:val="both"/>
        <w:rPr>
          <w:rFonts w:ascii="Arial" w:hAnsi="Arial" w:cs="Arial"/>
          <w:color w:val="000000"/>
          <w:sz w:val="20"/>
          <w:szCs w:val="20"/>
        </w:rPr>
      </w:pPr>
      <w:r w:rsidRPr="005D05E9">
        <w:rPr>
          <w:rFonts w:ascii="Arial" w:hAnsi="Arial" w:cs="Arial"/>
          <w:sz w:val="20"/>
          <w:szCs w:val="20"/>
        </w:rPr>
        <w:t>Para acceder a este nuevo formato, los usuarios de Sanipes deberán acceder a la página web de la </w:t>
      </w:r>
      <w:hyperlink r:id="rId8" w:tgtFrame="_blank" w:history="1">
        <w:r w:rsidRPr="005D05E9">
          <w:rPr>
            <w:rFonts w:ascii="Arial" w:hAnsi="Arial" w:cs="Arial"/>
            <w:sz w:val="20"/>
            <w:szCs w:val="20"/>
          </w:rPr>
          <w:t>Plataforma Nacional de Datos Abiertos</w:t>
        </w:r>
      </w:hyperlink>
      <w:r w:rsidRPr="005D05E9">
        <w:rPr>
          <w:rFonts w:ascii="Arial" w:hAnsi="Arial" w:cs="Arial"/>
          <w:sz w:val="20"/>
          <w:szCs w:val="20"/>
        </w:rPr>
        <w:t> (PNDA) de la Presidencia del Consejo de Ministros (PCM), e ingresar a la sección “Gobernabilidad”. Pueden hacerlo directamente en este </w:t>
      </w:r>
      <w:hyperlink r:id="rId9" w:tgtFrame="_blank" w:history="1">
        <w:r w:rsidRPr="005D05E9">
          <w:rPr>
            <w:rFonts w:ascii="Arial" w:hAnsi="Arial" w:cs="Arial"/>
            <w:sz w:val="20"/>
            <w:szCs w:val="20"/>
          </w:rPr>
          <w:t>enlace</w:t>
        </w:r>
      </w:hyperlink>
      <w:r w:rsidRPr="005D05E9">
        <w:rPr>
          <w:rFonts w:ascii="Arial" w:hAnsi="Arial" w:cs="Arial"/>
          <w:sz w:val="20"/>
          <w:szCs w:val="20"/>
        </w:rPr>
        <w:t>:</w:t>
      </w:r>
    </w:p>
    <w:p w:rsidR="005D05E9" w:rsidRPr="005D05E9" w:rsidRDefault="005D05E9" w:rsidP="005D05E9">
      <w:pPr>
        <w:pStyle w:val="Sinespaciado"/>
        <w:ind w:left="0" w:hanging="2"/>
        <w:jc w:val="both"/>
        <w:rPr>
          <w:rFonts w:ascii="Arial" w:hAnsi="Arial" w:cs="Arial"/>
          <w:color w:val="000000"/>
          <w:sz w:val="20"/>
          <w:szCs w:val="20"/>
        </w:rPr>
      </w:pPr>
      <w:hyperlink r:id="rId10" w:history="1">
        <w:r w:rsidRPr="005D05E9">
          <w:rPr>
            <w:rStyle w:val="Hipervnculo"/>
            <w:rFonts w:ascii="Arial" w:hAnsi="Arial" w:cs="Arial"/>
            <w:sz w:val="20"/>
            <w:szCs w:val="20"/>
          </w:rPr>
          <w:t>https://www.datosabiertos.gob.pe/group/organismo-nacional-</w:t>
        </w:r>
        <w:r w:rsidRPr="005D05E9">
          <w:rPr>
            <w:rStyle w:val="Hipervnculo"/>
            <w:rFonts w:ascii="Arial" w:hAnsi="Arial" w:cs="Arial"/>
            <w:sz w:val="20"/>
            <w:szCs w:val="20"/>
          </w:rPr>
          <w:t>d</w:t>
        </w:r>
        <w:r w:rsidRPr="005D05E9">
          <w:rPr>
            <w:rStyle w:val="Hipervnculo"/>
            <w:rFonts w:ascii="Arial" w:hAnsi="Arial" w:cs="Arial"/>
            <w:sz w:val="20"/>
            <w:szCs w:val="20"/>
          </w:rPr>
          <w:t>e-sanidad-pesquera-sanipes</w:t>
        </w:r>
      </w:hyperlink>
    </w:p>
    <w:p w:rsidR="005D05E9" w:rsidRPr="005D05E9" w:rsidRDefault="005D05E9" w:rsidP="005D05E9">
      <w:pPr>
        <w:pStyle w:val="Sinespaciado"/>
        <w:jc w:val="both"/>
        <w:rPr>
          <w:rFonts w:ascii="Arial" w:hAnsi="Arial" w:cs="Arial"/>
          <w:color w:val="000000"/>
          <w:sz w:val="10"/>
          <w:szCs w:val="10"/>
        </w:rPr>
      </w:pPr>
    </w:p>
    <w:p w:rsidR="005D05E9" w:rsidRPr="005D05E9" w:rsidRDefault="005D05E9" w:rsidP="005D05E9">
      <w:pPr>
        <w:pStyle w:val="Sinespaciado"/>
        <w:ind w:left="0" w:hanging="2"/>
        <w:jc w:val="both"/>
        <w:rPr>
          <w:rFonts w:ascii="Arial" w:hAnsi="Arial" w:cs="Arial"/>
          <w:color w:val="000000"/>
          <w:sz w:val="20"/>
          <w:szCs w:val="20"/>
        </w:rPr>
      </w:pPr>
      <w:r w:rsidRPr="005D05E9">
        <w:rPr>
          <w:rFonts w:ascii="Arial" w:hAnsi="Arial" w:cs="Arial"/>
          <w:sz w:val="20"/>
          <w:szCs w:val="20"/>
        </w:rPr>
        <w:t xml:space="preserve">Una vez dentro de la plataforma, podrán visualizar, por ejemplo, en cuadros Excel que, en el año </w:t>
      </w:r>
      <w:r w:rsidRPr="005D05E9">
        <w:rPr>
          <w:rFonts w:ascii="Arial" w:hAnsi="Arial" w:cs="Arial"/>
          <w:color w:val="000000"/>
          <w:sz w:val="20"/>
          <w:szCs w:val="20"/>
        </w:rPr>
        <w:t xml:space="preserve">2022, la entidad, </w:t>
      </w:r>
      <w:r w:rsidRPr="005D05E9">
        <w:rPr>
          <w:rFonts w:ascii="Arial" w:hAnsi="Arial" w:cs="Arial"/>
          <w:sz w:val="20"/>
          <w:szCs w:val="20"/>
        </w:rPr>
        <w:t xml:space="preserve">realizó a nivel nacional 186 eventos de difusión/capacitación en normativa sanitaria sobre pesca y acuicultura en </w:t>
      </w:r>
      <w:r w:rsidRPr="005D05E9">
        <w:rPr>
          <w:rFonts w:ascii="Arial" w:hAnsi="Arial" w:cs="Arial"/>
          <w:color w:val="000000"/>
          <w:sz w:val="20"/>
          <w:szCs w:val="20"/>
        </w:rPr>
        <w:t>modalidad presencial o virtual</w:t>
      </w:r>
      <w:r w:rsidRPr="005D05E9">
        <w:rPr>
          <w:rFonts w:ascii="Arial" w:hAnsi="Arial" w:cs="Arial"/>
          <w:sz w:val="20"/>
          <w:szCs w:val="20"/>
        </w:rPr>
        <w:t>,</w:t>
      </w:r>
      <w:r w:rsidRPr="005D05E9">
        <w:rPr>
          <w:rFonts w:ascii="Arial" w:hAnsi="Arial" w:cs="Arial"/>
          <w:color w:val="000000"/>
          <w:sz w:val="20"/>
          <w:szCs w:val="20"/>
        </w:rPr>
        <w:t xml:space="preserve"> con una participación de 9,937 participantes. Y también figura el historial de años anteriores, como </w:t>
      </w:r>
      <w:r w:rsidRPr="005D05E9">
        <w:rPr>
          <w:rFonts w:ascii="Arial" w:hAnsi="Arial" w:cs="Arial"/>
          <w:sz w:val="20"/>
          <w:szCs w:val="20"/>
        </w:rPr>
        <w:t>96 eventos realizados con 4,071 participantes en el 2021.</w:t>
      </w:r>
    </w:p>
    <w:p w:rsidR="005D05E9" w:rsidRPr="005D05E9" w:rsidRDefault="005D05E9" w:rsidP="005D05E9">
      <w:pPr>
        <w:pStyle w:val="Sinespaciado"/>
        <w:jc w:val="both"/>
        <w:rPr>
          <w:rFonts w:ascii="Arial" w:hAnsi="Arial" w:cs="Arial"/>
          <w:color w:val="000000"/>
          <w:sz w:val="10"/>
          <w:szCs w:val="10"/>
        </w:rPr>
      </w:pPr>
    </w:p>
    <w:p w:rsidR="005D05E9" w:rsidRPr="005D05E9" w:rsidRDefault="005D05E9" w:rsidP="005D05E9">
      <w:pPr>
        <w:ind w:left="0" w:hanging="2"/>
        <w:jc w:val="both"/>
        <w:rPr>
          <w:rFonts w:ascii="Arial" w:hAnsi="Arial" w:cs="Arial"/>
          <w:sz w:val="18"/>
          <w:szCs w:val="18"/>
        </w:rPr>
      </w:pPr>
      <w:r w:rsidRPr="005D05E9">
        <w:rPr>
          <w:rFonts w:ascii="Arial" w:hAnsi="Arial" w:cs="Arial"/>
          <w:sz w:val="18"/>
          <w:szCs w:val="18"/>
        </w:rPr>
        <w:t xml:space="preserve">Entre los temas desarrollados </w:t>
      </w:r>
      <w:r>
        <w:rPr>
          <w:rFonts w:ascii="Arial" w:hAnsi="Arial" w:cs="Arial"/>
          <w:sz w:val="18"/>
          <w:szCs w:val="18"/>
        </w:rPr>
        <w:t xml:space="preserve">se </w:t>
      </w:r>
      <w:r w:rsidRPr="005D05E9">
        <w:rPr>
          <w:rFonts w:ascii="Arial" w:hAnsi="Arial" w:cs="Arial"/>
          <w:sz w:val="18"/>
          <w:szCs w:val="18"/>
        </w:rPr>
        <w:t>destaca</w:t>
      </w:r>
      <w:r>
        <w:rPr>
          <w:rFonts w:ascii="Arial" w:hAnsi="Arial" w:cs="Arial"/>
          <w:sz w:val="18"/>
          <w:szCs w:val="18"/>
        </w:rPr>
        <w:t>n:</w:t>
      </w:r>
    </w:p>
    <w:p w:rsidR="005D05E9" w:rsidRPr="005D05E9" w:rsidRDefault="005D05E9" w:rsidP="005D05E9">
      <w:pPr>
        <w:pStyle w:val="Sinespaciado"/>
        <w:numPr>
          <w:ilvl w:val="0"/>
          <w:numId w:val="4"/>
        </w:numPr>
        <w:ind w:leftChars="0" w:left="426" w:firstLineChars="0"/>
        <w:jc w:val="both"/>
        <w:rPr>
          <w:rFonts w:ascii="Arial" w:hAnsi="Arial" w:cs="Arial"/>
          <w:sz w:val="18"/>
          <w:szCs w:val="18"/>
        </w:rPr>
      </w:pPr>
      <w:r w:rsidRPr="005D05E9">
        <w:rPr>
          <w:rFonts w:ascii="Arial" w:hAnsi="Arial" w:cs="Arial"/>
          <w:sz w:val="18"/>
          <w:szCs w:val="18"/>
        </w:rPr>
        <w:t>Inocuidad y Buenas prácticas en el desarrollo de las actividades pesqueras artesanales- zona de derrame de combustible. (Lima).</w:t>
      </w:r>
    </w:p>
    <w:p w:rsidR="005D05E9" w:rsidRPr="005D05E9" w:rsidRDefault="005D05E9" w:rsidP="005D05E9">
      <w:pPr>
        <w:pStyle w:val="Sinespaciado"/>
        <w:numPr>
          <w:ilvl w:val="0"/>
          <w:numId w:val="4"/>
        </w:numPr>
        <w:ind w:leftChars="0" w:left="426" w:firstLineChars="0"/>
        <w:jc w:val="both"/>
        <w:rPr>
          <w:rFonts w:ascii="Arial" w:hAnsi="Arial" w:cs="Arial"/>
          <w:sz w:val="18"/>
          <w:szCs w:val="18"/>
        </w:rPr>
      </w:pPr>
      <w:r w:rsidRPr="005D05E9">
        <w:rPr>
          <w:rFonts w:ascii="Arial" w:hAnsi="Arial" w:cs="Arial"/>
          <w:sz w:val="18"/>
          <w:szCs w:val="18"/>
        </w:rPr>
        <w:t>Buenas prácticas en desembarcaderos pesqueros artesanales o puntos de descarga. (Piura).</w:t>
      </w:r>
    </w:p>
    <w:p w:rsidR="005D05E9" w:rsidRPr="005D05E9" w:rsidRDefault="005D05E9" w:rsidP="005D05E9">
      <w:pPr>
        <w:pStyle w:val="Sinespaciado"/>
        <w:numPr>
          <w:ilvl w:val="0"/>
          <w:numId w:val="4"/>
        </w:numPr>
        <w:ind w:leftChars="0" w:left="426" w:firstLineChars="0"/>
        <w:jc w:val="both"/>
        <w:rPr>
          <w:rFonts w:ascii="Arial" w:hAnsi="Arial" w:cs="Arial"/>
          <w:sz w:val="18"/>
          <w:szCs w:val="18"/>
        </w:rPr>
      </w:pPr>
      <w:r w:rsidRPr="005D05E9">
        <w:rPr>
          <w:rFonts w:ascii="Arial" w:hAnsi="Arial" w:cs="Arial"/>
          <w:sz w:val="18"/>
          <w:szCs w:val="18"/>
        </w:rPr>
        <w:t>Normativa sanitaria y trazabilidad aplicable a las actividades acuícolas y Buenas Prácticas Acuícolas y Bioseguridad en el centro de cultivo. (Junín).</w:t>
      </w:r>
    </w:p>
    <w:p w:rsidR="005D05E9" w:rsidRPr="005D05E9" w:rsidRDefault="005D05E9" w:rsidP="005D05E9">
      <w:pPr>
        <w:pStyle w:val="Sinespaciado"/>
        <w:numPr>
          <w:ilvl w:val="0"/>
          <w:numId w:val="4"/>
        </w:numPr>
        <w:ind w:leftChars="0" w:left="426" w:firstLineChars="0"/>
        <w:jc w:val="both"/>
        <w:rPr>
          <w:rFonts w:ascii="Arial" w:hAnsi="Arial" w:cs="Arial"/>
          <w:sz w:val="18"/>
          <w:szCs w:val="18"/>
        </w:rPr>
      </w:pPr>
      <w:r w:rsidRPr="005D05E9">
        <w:rPr>
          <w:rFonts w:ascii="Arial" w:hAnsi="Arial" w:cs="Arial"/>
          <w:sz w:val="18"/>
          <w:szCs w:val="18"/>
        </w:rPr>
        <w:t>Inocuidad-Calidad-Trazabilidad/Buenas Prácticas de Manipulación y Preservación a Bordo Higiene y Saneamiento. (Ancash).</w:t>
      </w:r>
    </w:p>
    <w:p w:rsidR="005D05E9" w:rsidRPr="005D05E9" w:rsidRDefault="005D05E9" w:rsidP="005D05E9">
      <w:pPr>
        <w:pStyle w:val="Sinespaciado"/>
        <w:jc w:val="both"/>
        <w:rPr>
          <w:rFonts w:ascii="Arial" w:hAnsi="Arial" w:cs="Arial"/>
          <w:color w:val="000000"/>
          <w:sz w:val="10"/>
          <w:szCs w:val="10"/>
        </w:rPr>
      </w:pPr>
    </w:p>
    <w:p w:rsidR="005D05E9" w:rsidRPr="005D05E9" w:rsidRDefault="005D05E9" w:rsidP="005D05E9">
      <w:pPr>
        <w:pStyle w:val="Sinespaciado"/>
        <w:ind w:left="0" w:hanging="2"/>
        <w:jc w:val="both"/>
        <w:rPr>
          <w:rFonts w:ascii="Arial" w:hAnsi="Arial" w:cs="Arial"/>
          <w:sz w:val="20"/>
          <w:szCs w:val="20"/>
        </w:rPr>
      </w:pPr>
      <w:r w:rsidRPr="005D05E9">
        <w:rPr>
          <w:rFonts w:ascii="Arial" w:hAnsi="Arial" w:cs="Arial"/>
          <w:color w:val="000000"/>
          <w:sz w:val="20"/>
          <w:szCs w:val="20"/>
        </w:rPr>
        <w:t>E</w:t>
      </w:r>
      <w:r w:rsidRPr="005D05E9">
        <w:rPr>
          <w:rFonts w:ascii="Arial" w:hAnsi="Arial" w:cs="Arial"/>
          <w:sz w:val="20"/>
          <w:szCs w:val="20"/>
        </w:rPr>
        <w:t>n la plataforma también</w:t>
      </w:r>
      <w:r>
        <w:rPr>
          <w:rFonts w:ascii="Arial" w:hAnsi="Arial" w:cs="Arial"/>
          <w:sz w:val="20"/>
          <w:szCs w:val="20"/>
        </w:rPr>
        <w:t>,</w:t>
      </w:r>
      <w:r w:rsidRPr="005D05E9">
        <w:rPr>
          <w:rFonts w:ascii="Arial" w:hAnsi="Arial" w:cs="Arial"/>
          <w:sz w:val="20"/>
          <w:szCs w:val="20"/>
        </w:rPr>
        <w:t xml:space="preserve"> se ha publicado los resultados de la ejecución del Control Oficial de las áreas de producción de moluscos bivalvos, dicha información contiene la evaluación periódica de un total de 1,613 monitoreos realizados para conocer el estatus sanitario de las 70 zonas ubicadas a nivel nacional donde se extraen, cosechan y recolectan moluscos bivalvos, los cuales son distribuidos y comercializados en los diferentes mercados de destino; favoreciendo así en la actividad económica de 5,983 beneficiarios que se dedican a las actividades pesqueras y/o acuícolas.</w:t>
      </w:r>
    </w:p>
    <w:p w:rsidR="005D05E9" w:rsidRPr="005D05E9" w:rsidRDefault="005D05E9" w:rsidP="005D05E9">
      <w:pPr>
        <w:pStyle w:val="Sinespaciado"/>
        <w:jc w:val="both"/>
        <w:rPr>
          <w:rFonts w:ascii="Arial" w:hAnsi="Arial" w:cs="Arial"/>
          <w:color w:val="000000"/>
          <w:sz w:val="10"/>
          <w:szCs w:val="10"/>
        </w:rPr>
      </w:pPr>
    </w:p>
    <w:p w:rsidR="005D05E9" w:rsidRPr="005D05E9" w:rsidRDefault="005D05E9" w:rsidP="005D05E9">
      <w:pPr>
        <w:pStyle w:val="Sinespaciado"/>
        <w:ind w:left="0" w:hanging="2"/>
        <w:jc w:val="both"/>
        <w:rPr>
          <w:rFonts w:ascii="Arial" w:hAnsi="Arial" w:cs="Arial"/>
          <w:sz w:val="20"/>
          <w:szCs w:val="20"/>
        </w:rPr>
      </w:pPr>
      <w:r w:rsidRPr="005D05E9">
        <w:rPr>
          <w:rFonts w:ascii="Arial" w:hAnsi="Arial" w:cs="Arial"/>
          <w:color w:val="000000" w:themeColor="text1"/>
          <w:sz w:val="20"/>
          <w:szCs w:val="20"/>
          <w:shd w:val="clear" w:color="auto" w:fill="FFFFFF"/>
        </w:rPr>
        <w:t>Como se recuerda,</w:t>
      </w:r>
      <w:r w:rsidRPr="005D05E9">
        <w:rPr>
          <w:rFonts w:ascii="Arial" w:hAnsi="Arial" w:cs="Arial"/>
          <w:sz w:val="20"/>
          <w:szCs w:val="20"/>
        </w:rPr>
        <w:t xml:space="preserve"> la PCM, a través de la Secretaría de Gestión Pública y la Oficina Nacional de Gobierno Electrónico e Informática (ONGEI), lidera el diseño e implementación de la Estrategia Nacional de Datos Abiertos Gubernamentales; y son las entidades a nivel de gobierno nacional, regional y local, las que realizan a través de sus titulares la implementación de la Estrategia Nacional de Datos Abiertos.</w:t>
      </w:r>
    </w:p>
    <w:p w:rsidR="005D05E9" w:rsidRPr="005D05E9" w:rsidRDefault="005D05E9" w:rsidP="005D05E9">
      <w:pPr>
        <w:pStyle w:val="Sinespaciado"/>
        <w:jc w:val="both"/>
        <w:rPr>
          <w:rFonts w:ascii="Arial" w:hAnsi="Arial" w:cs="Arial"/>
          <w:color w:val="000000"/>
          <w:sz w:val="10"/>
          <w:szCs w:val="10"/>
        </w:rPr>
      </w:pPr>
    </w:p>
    <w:p w:rsidR="005D05E9" w:rsidRPr="005D05E9" w:rsidRDefault="005D05E9" w:rsidP="005D05E9">
      <w:pPr>
        <w:pStyle w:val="Sinespaciado"/>
        <w:ind w:left="0" w:hanging="2"/>
        <w:jc w:val="both"/>
        <w:rPr>
          <w:rFonts w:ascii="Arial" w:hAnsi="Arial" w:cs="Arial"/>
          <w:color w:val="000000"/>
          <w:sz w:val="20"/>
          <w:szCs w:val="20"/>
        </w:rPr>
      </w:pPr>
      <w:r w:rsidRPr="005D05E9">
        <w:rPr>
          <w:rFonts w:ascii="Arial" w:hAnsi="Arial" w:cs="Arial"/>
          <w:color w:val="000000" w:themeColor="text1"/>
          <w:sz w:val="20"/>
          <w:szCs w:val="20"/>
          <w:shd w:val="clear" w:color="auto" w:fill="FFFFFF"/>
        </w:rPr>
        <w:t>En esa línea, la institución, resaltó</w:t>
      </w:r>
      <w:r w:rsidRPr="005D05E9">
        <w:rPr>
          <w:rFonts w:ascii="Arial" w:hAnsi="Arial" w:cs="Arial"/>
          <w:color w:val="FF0000"/>
          <w:sz w:val="20"/>
          <w:szCs w:val="20"/>
          <w:shd w:val="clear" w:color="auto" w:fill="FFFFFF"/>
        </w:rPr>
        <w:t xml:space="preserve"> </w:t>
      </w:r>
      <w:r w:rsidRPr="005D05E9">
        <w:rPr>
          <w:rFonts w:ascii="Arial" w:hAnsi="Arial" w:cs="Arial"/>
          <w:color w:val="000000" w:themeColor="text1"/>
          <w:sz w:val="20"/>
          <w:szCs w:val="20"/>
          <w:shd w:val="clear" w:color="auto" w:fill="FFFFFF"/>
        </w:rPr>
        <w:t xml:space="preserve">este importante avance en materia digital, tras señalar, que herramientas como el Open Data o Datos Abiertos, </w:t>
      </w:r>
      <w:r w:rsidRPr="005D05E9">
        <w:rPr>
          <w:rFonts w:ascii="Arial" w:hAnsi="Arial" w:cs="Arial"/>
          <w:color w:val="000000"/>
          <w:sz w:val="20"/>
          <w:szCs w:val="20"/>
        </w:rPr>
        <w:t>impactan positivamente en la obtención de mayores niveles de eficiencia de las entidades públicas, de acuerdo a sus objetivos y misión institucional, contribuyendo a construir un Estado más transparente al servicio del ciudadano.</w:t>
      </w:r>
    </w:p>
    <w:p w:rsidR="005D05E9" w:rsidRPr="005D05E9" w:rsidRDefault="005D05E9" w:rsidP="005D05E9">
      <w:pPr>
        <w:pStyle w:val="Sinespaciado"/>
        <w:jc w:val="both"/>
        <w:rPr>
          <w:rFonts w:ascii="Arial" w:hAnsi="Arial" w:cs="Arial"/>
          <w:sz w:val="10"/>
          <w:szCs w:val="10"/>
          <w:shd w:val="clear" w:color="auto" w:fill="FFFFFF"/>
        </w:rPr>
      </w:pPr>
    </w:p>
    <w:p w:rsidR="005D05E9" w:rsidRPr="005D05E9" w:rsidRDefault="005D05E9" w:rsidP="005D05E9">
      <w:pPr>
        <w:pStyle w:val="Sinespaciado"/>
        <w:ind w:left="0" w:hanging="2"/>
        <w:jc w:val="both"/>
        <w:rPr>
          <w:rFonts w:ascii="Arial" w:hAnsi="Arial" w:cs="Arial"/>
          <w:sz w:val="20"/>
          <w:szCs w:val="20"/>
        </w:rPr>
      </w:pPr>
      <w:r w:rsidRPr="005D05E9">
        <w:rPr>
          <w:rFonts w:ascii="Arial" w:hAnsi="Arial" w:cs="Arial"/>
          <w:sz w:val="20"/>
          <w:szCs w:val="20"/>
        </w:rPr>
        <w:lastRenderedPageBreak/>
        <w:t xml:space="preserve">Cabe mencionar, que, en la actualidad, conforme lo indica la Ley de Gobierno Digital, los datos gubernamentales son un activo estratégico que las entidades públicas administran considerando las necesidades de información, riesgos y la normatividad vigente en materia de gobierno digital, seguridad digital, transparencia y protección de datos personales. </w:t>
      </w:r>
    </w:p>
    <w:p w:rsidR="00EC19D4" w:rsidRPr="005D05E9" w:rsidRDefault="00EC19D4" w:rsidP="005D05E9">
      <w:pPr>
        <w:pStyle w:val="Sinespaciado"/>
        <w:ind w:left="0" w:hanging="2"/>
        <w:jc w:val="both"/>
        <w:rPr>
          <w:rFonts w:ascii="Arial" w:eastAsia="Arial" w:hAnsi="Arial" w:cs="Arial"/>
          <w:sz w:val="20"/>
          <w:szCs w:val="20"/>
        </w:rPr>
      </w:pPr>
      <w:bookmarkStart w:id="0" w:name="_GoBack"/>
      <w:bookmarkEnd w:id="0"/>
    </w:p>
    <w:p w:rsidR="00EC19D4" w:rsidRDefault="00EC19D4" w:rsidP="005D05E9">
      <w:pPr>
        <w:spacing w:after="0" w:line="240" w:lineRule="auto"/>
        <w:ind w:left="0" w:right="-1" w:hanging="2"/>
        <w:jc w:val="both"/>
        <w:rPr>
          <w:rFonts w:ascii="Arial" w:eastAsia="Arial" w:hAnsi="Arial" w:cs="Arial"/>
          <w:sz w:val="20"/>
          <w:szCs w:val="20"/>
        </w:rPr>
      </w:pPr>
    </w:p>
    <w:p w:rsidR="00EC19D4" w:rsidRDefault="00F94F9A">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Agradeceremos su difusión. </w:t>
      </w:r>
    </w:p>
    <w:p w:rsidR="00EC19D4" w:rsidRDefault="00EC19D4">
      <w:pPr>
        <w:ind w:left="0" w:hanging="2"/>
        <w:jc w:val="both"/>
        <w:rPr>
          <w:rFonts w:ascii="Arial" w:eastAsia="Arial" w:hAnsi="Arial" w:cs="Arial"/>
          <w:sz w:val="20"/>
          <w:szCs w:val="20"/>
        </w:rPr>
      </w:pPr>
    </w:p>
    <w:sectPr w:rsidR="00EC19D4">
      <w:headerReference w:type="even" r:id="rId11"/>
      <w:headerReference w:type="default" r:id="rId12"/>
      <w:footerReference w:type="even" r:id="rId13"/>
      <w:footerReference w:type="default" r:id="rId14"/>
      <w:headerReference w:type="first" r:id="rId15"/>
      <w:footerReference w:type="first" r:id="rId16"/>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4FA" w:rsidRDefault="002544FA">
      <w:pPr>
        <w:spacing w:after="0" w:line="240" w:lineRule="auto"/>
        <w:ind w:left="0" w:hanging="2"/>
      </w:pPr>
      <w:r>
        <w:separator/>
      </w:r>
    </w:p>
  </w:endnote>
  <w:endnote w:type="continuationSeparator" w:id="0">
    <w:p w:rsidR="002544FA" w:rsidRDefault="002544F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notTrueType/>
    <w:pitch w:val="variable"/>
    <w:sig w:usb0="E4002EFF" w:usb1="C000E47F" w:usb2="00000009" w:usb3="00000000" w:csb0="000001FF" w:csb1="00000000"/>
  </w:font>
  <w:font w:name="Arial MT">
    <w:altName w:val="Arial"/>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D4" w:rsidRDefault="00EC19D4">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D4" w:rsidRDefault="00EC19D4">
    <w:pPr>
      <w:tabs>
        <w:tab w:val="left" w:pos="-284"/>
      </w:tabs>
      <w:spacing w:after="0" w:line="360" w:lineRule="auto"/>
      <w:ind w:right="-568"/>
      <w:jc w:val="both"/>
      <w:rPr>
        <w:sz w:val="14"/>
        <w:szCs w:val="14"/>
      </w:rPr>
    </w:pPr>
  </w:p>
  <w:p w:rsidR="00EC19D4" w:rsidRDefault="00F94F9A">
    <w:pPr>
      <w:ind w:left="0" w:hanging="2"/>
      <w:rPr>
        <w:sz w:val="10"/>
        <w:szCs w:val="10"/>
      </w:rPr>
    </w:pPr>
    <w:r>
      <w:rPr>
        <w:noProof/>
      </w:rPr>
      <w:drawing>
        <wp:anchor distT="0" distB="0" distL="0" distR="0" simplePos="0" relativeHeight="251660288" behindDoc="1" locked="0" layoutInCell="1" hidden="0" allowOverlap="1">
          <wp:simplePos x="0" y="0"/>
          <wp:positionH relativeFrom="column">
            <wp:posOffset>4783014</wp:posOffset>
          </wp:positionH>
          <wp:positionV relativeFrom="paragraph">
            <wp:posOffset>59627</wp:posOffset>
          </wp:positionV>
          <wp:extent cx="1196502" cy="549428"/>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6502" cy="549428"/>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3205067</wp:posOffset>
          </wp:positionH>
          <wp:positionV relativeFrom="paragraph">
            <wp:posOffset>112173</wp:posOffset>
          </wp:positionV>
          <wp:extent cx="1377109" cy="432231"/>
          <wp:effectExtent l="0" t="0" r="0" b="0"/>
          <wp:wrapNone/>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377109" cy="432231"/>
                  </a:xfrm>
                  <a:prstGeom prst="rect">
                    <a:avLst/>
                  </a:prstGeom>
                  <a:ln/>
                </pic:spPr>
              </pic:pic>
            </a:graphicData>
          </a:graphic>
        </wp:anchor>
      </w:drawing>
    </w:r>
  </w:p>
  <w:p w:rsidR="00EC19D4" w:rsidRDefault="00F94F9A">
    <w:pPr>
      <w:pBdr>
        <w:top w:val="nil"/>
        <w:left w:val="nil"/>
        <w:bottom w:val="nil"/>
        <w:right w:val="nil"/>
        <w:between w:val="nil"/>
      </w:pBd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Ca. Amador Merino Reyna 267 Piso 12 San Isidro - Lima</w:t>
    </w:r>
  </w:p>
  <w:p w:rsidR="00EC19D4" w:rsidRDefault="00F94F9A">
    <w:pPr>
      <w:pBdr>
        <w:top w:val="nil"/>
        <w:left w:val="nil"/>
        <w:bottom w:val="nil"/>
        <w:right w:val="nil"/>
        <w:between w:val="nil"/>
      </w:pBd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Av. Carretera a Ventanilla km 5.2 - Callao</w:t>
    </w:r>
    <w:r>
      <w:rPr>
        <w:rFonts w:ascii="Arial" w:eastAsia="Arial" w:hAnsi="Arial" w:cs="Arial"/>
        <w:color w:val="000000"/>
        <w:sz w:val="16"/>
        <w:szCs w:val="16"/>
      </w:rPr>
      <w:br/>
      <w:t>www.gob.pe/sanipes</w:t>
    </w:r>
  </w:p>
  <w:p w:rsidR="00EC19D4" w:rsidRDefault="00EC19D4">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D4" w:rsidRDefault="00EC19D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4FA" w:rsidRDefault="002544FA">
      <w:pPr>
        <w:spacing w:after="0" w:line="240" w:lineRule="auto"/>
        <w:ind w:left="0" w:hanging="2"/>
      </w:pPr>
      <w:r>
        <w:separator/>
      </w:r>
    </w:p>
  </w:footnote>
  <w:footnote w:type="continuationSeparator" w:id="0">
    <w:p w:rsidR="002544FA" w:rsidRDefault="002544F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D4" w:rsidRDefault="00EC19D4">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D4" w:rsidRDefault="00F94F9A">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-600072</wp:posOffset>
          </wp:positionH>
          <wp:positionV relativeFrom="paragraph">
            <wp:posOffset>11430</wp:posOffset>
          </wp:positionV>
          <wp:extent cx="2171700" cy="441960"/>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1700" cy="4419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4200525</wp:posOffset>
          </wp:positionH>
          <wp:positionV relativeFrom="paragraph">
            <wp:posOffset>30480</wp:posOffset>
          </wp:positionV>
          <wp:extent cx="1592580" cy="52705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92580" cy="527050"/>
                  </a:xfrm>
                  <a:prstGeom prst="rect">
                    <a:avLst/>
                  </a:prstGeom>
                  <a:ln/>
                </pic:spPr>
              </pic:pic>
            </a:graphicData>
          </a:graphic>
        </wp:anchor>
      </w:drawing>
    </w:r>
  </w:p>
  <w:p w:rsidR="00EC19D4" w:rsidRDefault="00EC19D4">
    <w:pPr>
      <w:pBdr>
        <w:top w:val="nil"/>
        <w:left w:val="nil"/>
        <w:bottom w:val="nil"/>
        <w:right w:val="nil"/>
        <w:between w:val="nil"/>
      </w:pBdr>
      <w:spacing w:after="0" w:line="240" w:lineRule="auto"/>
      <w:ind w:left="0" w:hanging="2"/>
      <w:rPr>
        <w:color w:val="000000"/>
      </w:rPr>
    </w:pPr>
  </w:p>
  <w:p w:rsidR="00EC19D4" w:rsidRDefault="00EC19D4">
    <w:pPr>
      <w:pBdr>
        <w:top w:val="nil"/>
        <w:left w:val="nil"/>
        <w:bottom w:val="nil"/>
        <w:right w:val="nil"/>
        <w:between w:val="nil"/>
      </w:pBdr>
      <w:spacing w:after="0" w:line="240" w:lineRule="auto"/>
      <w:ind w:left="0" w:hanging="2"/>
      <w:rPr>
        <w:color w:val="000000"/>
      </w:rPr>
    </w:pPr>
  </w:p>
  <w:p w:rsidR="00EC19D4" w:rsidRDefault="00EC19D4">
    <w:pPr>
      <w:pBdr>
        <w:top w:val="nil"/>
        <w:left w:val="nil"/>
        <w:bottom w:val="nil"/>
        <w:right w:val="nil"/>
        <w:between w:val="nil"/>
      </w:pBdr>
      <w:spacing w:after="0" w:line="240" w:lineRule="auto"/>
      <w:ind w:left="0" w:hanging="2"/>
      <w:jc w:val="center"/>
      <w:rPr>
        <w:color w:val="000000"/>
        <w:sz w:val="18"/>
        <w:szCs w:val="18"/>
      </w:rPr>
    </w:pPr>
  </w:p>
  <w:p w:rsidR="00EC19D4" w:rsidRDefault="00EC19D4">
    <w:pPr>
      <w:pBdr>
        <w:top w:val="nil"/>
        <w:left w:val="nil"/>
        <w:bottom w:val="nil"/>
        <w:right w:val="nil"/>
        <w:between w:val="nil"/>
      </w:pBdr>
      <w:spacing w:after="0" w:line="240" w:lineRule="auto"/>
      <w:ind w:left="0" w:hanging="2"/>
      <w:rPr>
        <w:color w:val="000000"/>
        <w:sz w:val="20"/>
        <w:szCs w:val="20"/>
      </w:rPr>
    </w:pPr>
  </w:p>
  <w:p w:rsidR="00EC19D4" w:rsidRDefault="00F94F9A">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“Decenio de la Igualdad de Oportunidades para Mujeres y Hombres”</w:t>
    </w:r>
  </w:p>
  <w:p w:rsidR="00EC19D4" w:rsidRDefault="00EC19D4">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9D4" w:rsidRDefault="00EC19D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C1C33"/>
    <w:multiLevelType w:val="hybridMultilevel"/>
    <w:tmpl w:val="28DAAC8A"/>
    <w:lvl w:ilvl="0" w:tplc="280A0001">
      <w:start w:val="1"/>
      <w:numFmt w:val="bullet"/>
      <w:lvlText w:val=""/>
      <w:lvlJc w:val="left"/>
      <w:pPr>
        <w:ind w:left="718" w:hanging="360"/>
      </w:pPr>
      <w:rPr>
        <w:rFonts w:ascii="Symbol" w:hAnsi="Symbol" w:hint="default"/>
      </w:rPr>
    </w:lvl>
    <w:lvl w:ilvl="1" w:tplc="040A0003" w:tentative="1">
      <w:start w:val="1"/>
      <w:numFmt w:val="bullet"/>
      <w:lvlText w:val="o"/>
      <w:lvlJc w:val="left"/>
      <w:pPr>
        <w:ind w:left="1438" w:hanging="360"/>
      </w:pPr>
      <w:rPr>
        <w:rFonts w:ascii="Courier New" w:hAnsi="Courier New" w:cs="Courier New" w:hint="default"/>
      </w:rPr>
    </w:lvl>
    <w:lvl w:ilvl="2" w:tplc="040A0005" w:tentative="1">
      <w:start w:val="1"/>
      <w:numFmt w:val="bullet"/>
      <w:lvlText w:val=""/>
      <w:lvlJc w:val="left"/>
      <w:pPr>
        <w:ind w:left="2158" w:hanging="360"/>
      </w:pPr>
      <w:rPr>
        <w:rFonts w:ascii="Wingdings" w:hAnsi="Wingdings" w:hint="default"/>
      </w:rPr>
    </w:lvl>
    <w:lvl w:ilvl="3" w:tplc="040A0001" w:tentative="1">
      <w:start w:val="1"/>
      <w:numFmt w:val="bullet"/>
      <w:lvlText w:val=""/>
      <w:lvlJc w:val="left"/>
      <w:pPr>
        <w:ind w:left="2878" w:hanging="360"/>
      </w:pPr>
      <w:rPr>
        <w:rFonts w:ascii="Symbol" w:hAnsi="Symbol" w:hint="default"/>
      </w:rPr>
    </w:lvl>
    <w:lvl w:ilvl="4" w:tplc="040A0003" w:tentative="1">
      <w:start w:val="1"/>
      <w:numFmt w:val="bullet"/>
      <w:lvlText w:val="o"/>
      <w:lvlJc w:val="left"/>
      <w:pPr>
        <w:ind w:left="3598" w:hanging="360"/>
      </w:pPr>
      <w:rPr>
        <w:rFonts w:ascii="Courier New" w:hAnsi="Courier New" w:cs="Courier New" w:hint="default"/>
      </w:rPr>
    </w:lvl>
    <w:lvl w:ilvl="5" w:tplc="040A0005" w:tentative="1">
      <w:start w:val="1"/>
      <w:numFmt w:val="bullet"/>
      <w:lvlText w:val=""/>
      <w:lvlJc w:val="left"/>
      <w:pPr>
        <w:ind w:left="4318" w:hanging="360"/>
      </w:pPr>
      <w:rPr>
        <w:rFonts w:ascii="Wingdings" w:hAnsi="Wingdings" w:hint="default"/>
      </w:rPr>
    </w:lvl>
    <w:lvl w:ilvl="6" w:tplc="040A0001" w:tentative="1">
      <w:start w:val="1"/>
      <w:numFmt w:val="bullet"/>
      <w:lvlText w:val=""/>
      <w:lvlJc w:val="left"/>
      <w:pPr>
        <w:ind w:left="5038" w:hanging="360"/>
      </w:pPr>
      <w:rPr>
        <w:rFonts w:ascii="Symbol" w:hAnsi="Symbol" w:hint="default"/>
      </w:rPr>
    </w:lvl>
    <w:lvl w:ilvl="7" w:tplc="040A0003" w:tentative="1">
      <w:start w:val="1"/>
      <w:numFmt w:val="bullet"/>
      <w:lvlText w:val="o"/>
      <w:lvlJc w:val="left"/>
      <w:pPr>
        <w:ind w:left="5758" w:hanging="360"/>
      </w:pPr>
      <w:rPr>
        <w:rFonts w:ascii="Courier New" w:hAnsi="Courier New" w:cs="Courier New" w:hint="default"/>
      </w:rPr>
    </w:lvl>
    <w:lvl w:ilvl="8" w:tplc="040A0005" w:tentative="1">
      <w:start w:val="1"/>
      <w:numFmt w:val="bullet"/>
      <w:lvlText w:val=""/>
      <w:lvlJc w:val="left"/>
      <w:pPr>
        <w:ind w:left="6478" w:hanging="360"/>
      </w:pPr>
      <w:rPr>
        <w:rFonts w:ascii="Wingdings" w:hAnsi="Wingdings" w:hint="default"/>
      </w:rPr>
    </w:lvl>
  </w:abstractNum>
  <w:abstractNum w:abstractNumId="1" w15:restartNumberingAfterBreak="0">
    <w:nsid w:val="55753711"/>
    <w:multiLevelType w:val="hybridMultilevel"/>
    <w:tmpl w:val="D12E6568"/>
    <w:lvl w:ilvl="0" w:tplc="BE986032">
      <w:start w:val="1"/>
      <w:numFmt w:val="decimal"/>
      <w:lvlText w:val="%1."/>
      <w:lvlJc w:val="left"/>
      <w:pPr>
        <w:ind w:left="589" w:hanging="360"/>
      </w:pPr>
      <w:rPr>
        <w:b w:val="0"/>
        <w:bCs w:val="0"/>
      </w:rPr>
    </w:lvl>
    <w:lvl w:ilvl="1" w:tplc="280A0019" w:tentative="1">
      <w:start w:val="1"/>
      <w:numFmt w:val="lowerLetter"/>
      <w:lvlText w:val="%2."/>
      <w:lvlJc w:val="left"/>
      <w:pPr>
        <w:ind w:left="1309" w:hanging="360"/>
      </w:pPr>
    </w:lvl>
    <w:lvl w:ilvl="2" w:tplc="280A001B" w:tentative="1">
      <w:start w:val="1"/>
      <w:numFmt w:val="lowerRoman"/>
      <w:lvlText w:val="%3."/>
      <w:lvlJc w:val="right"/>
      <w:pPr>
        <w:ind w:left="2029" w:hanging="180"/>
      </w:pPr>
    </w:lvl>
    <w:lvl w:ilvl="3" w:tplc="280A000F" w:tentative="1">
      <w:start w:val="1"/>
      <w:numFmt w:val="decimal"/>
      <w:lvlText w:val="%4."/>
      <w:lvlJc w:val="left"/>
      <w:pPr>
        <w:ind w:left="2749" w:hanging="360"/>
      </w:pPr>
    </w:lvl>
    <w:lvl w:ilvl="4" w:tplc="280A0019" w:tentative="1">
      <w:start w:val="1"/>
      <w:numFmt w:val="lowerLetter"/>
      <w:lvlText w:val="%5."/>
      <w:lvlJc w:val="left"/>
      <w:pPr>
        <w:ind w:left="3469" w:hanging="360"/>
      </w:pPr>
    </w:lvl>
    <w:lvl w:ilvl="5" w:tplc="280A001B" w:tentative="1">
      <w:start w:val="1"/>
      <w:numFmt w:val="lowerRoman"/>
      <w:lvlText w:val="%6."/>
      <w:lvlJc w:val="right"/>
      <w:pPr>
        <w:ind w:left="4189" w:hanging="180"/>
      </w:pPr>
    </w:lvl>
    <w:lvl w:ilvl="6" w:tplc="280A000F" w:tentative="1">
      <w:start w:val="1"/>
      <w:numFmt w:val="decimal"/>
      <w:lvlText w:val="%7."/>
      <w:lvlJc w:val="left"/>
      <w:pPr>
        <w:ind w:left="4909" w:hanging="360"/>
      </w:pPr>
    </w:lvl>
    <w:lvl w:ilvl="7" w:tplc="280A0019" w:tentative="1">
      <w:start w:val="1"/>
      <w:numFmt w:val="lowerLetter"/>
      <w:lvlText w:val="%8."/>
      <w:lvlJc w:val="left"/>
      <w:pPr>
        <w:ind w:left="5629" w:hanging="360"/>
      </w:pPr>
    </w:lvl>
    <w:lvl w:ilvl="8" w:tplc="280A001B" w:tentative="1">
      <w:start w:val="1"/>
      <w:numFmt w:val="lowerRoman"/>
      <w:lvlText w:val="%9."/>
      <w:lvlJc w:val="right"/>
      <w:pPr>
        <w:ind w:left="6349" w:hanging="180"/>
      </w:pPr>
    </w:lvl>
  </w:abstractNum>
  <w:abstractNum w:abstractNumId="2" w15:restartNumberingAfterBreak="0">
    <w:nsid w:val="6AF21D86"/>
    <w:multiLevelType w:val="hybridMultilevel"/>
    <w:tmpl w:val="5B9497EA"/>
    <w:lvl w:ilvl="0" w:tplc="8840812E">
      <w:start w:val="8697"/>
      <w:numFmt w:val="bullet"/>
      <w:lvlText w:val="-"/>
      <w:lvlJc w:val="left"/>
      <w:pPr>
        <w:ind w:left="229" w:hanging="360"/>
      </w:pPr>
      <w:rPr>
        <w:rFonts w:ascii="Arial Narrow" w:eastAsia="Arial" w:hAnsi="Arial Narrow" w:cs="Arial" w:hint="default"/>
        <w:b/>
        <w:i/>
        <w:color w:val="auto"/>
      </w:rPr>
    </w:lvl>
    <w:lvl w:ilvl="1" w:tplc="280A0003" w:tentative="1">
      <w:start w:val="1"/>
      <w:numFmt w:val="bullet"/>
      <w:lvlText w:val="o"/>
      <w:lvlJc w:val="left"/>
      <w:pPr>
        <w:ind w:left="949" w:hanging="360"/>
      </w:pPr>
      <w:rPr>
        <w:rFonts w:ascii="Courier New" w:hAnsi="Courier New" w:cs="Courier New" w:hint="default"/>
      </w:rPr>
    </w:lvl>
    <w:lvl w:ilvl="2" w:tplc="280A0005" w:tentative="1">
      <w:start w:val="1"/>
      <w:numFmt w:val="bullet"/>
      <w:lvlText w:val=""/>
      <w:lvlJc w:val="left"/>
      <w:pPr>
        <w:ind w:left="1669" w:hanging="360"/>
      </w:pPr>
      <w:rPr>
        <w:rFonts w:ascii="Wingdings" w:hAnsi="Wingdings" w:hint="default"/>
      </w:rPr>
    </w:lvl>
    <w:lvl w:ilvl="3" w:tplc="280A0001" w:tentative="1">
      <w:start w:val="1"/>
      <w:numFmt w:val="bullet"/>
      <w:lvlText w:val=""/>
      <w:lvlJc w:val="left"/>
      <w:pPr>
        <w:ind w:left="2389" w:hanging="360"/>
      </w:pPr>
      <w:rPr>
        <w:rFonts w:ascii="Symbol" w:hAnsi="Symbol" w:hint="default"/>
      </w:rPr>
    </w:lvl>
    <w:lvl w:ilvl="4" w:tplc="280A0003" w:tentative="1">
      <w:start w:val="1"/>
      <w:numFmt w:val="bullet"/>
      <w:lvlText w:val="o"/>
      <w:lvlJc w:val="left"/>
      <w:pPr>
        <w:ind w:left="3109" w:hanging="360"/>
      </w:pPr>
      <w:rPr>
        <w:rFonts w:ascii="Courier New" w:hAnsi="Courier New" w:cs="Courier New" w:hint="default"/>
      </w:rPr>
    </w:lvl>
    <w:lvl w:ilvl="5" w:tplc="280A0005" w:tentative="1">
      <w:start w:val="1"/>
      <w:numFmt w:val="bullet"/>
      <w:lvlText w:val=""/>
      <w:lvlJc w:val="left"/>
      <w:pPr>
        <w:ind w:left="3829" w:hanging="360"/>
      </w:pPr>
      <w:rPr>
        <w:rFonts w:ascii="Wingdings" w:hAnsi="Wingdings" w:hint="default"/>
      </w:rPr>
    </w:lvl>
    <w:lvl w:ilvl="6" w:tplc="280A0001" w:tentative="1">
      <w:start w:val="1"/>
      <w:numFmt w:val="bullet"/>
      <w:lvlText w:val=""/>
      <w:lvlJc w:val="left"/>
      <w:pPr>
        <w:ind w:left="4549" w:hanging="360"/>
      </w:pPr>
      <w:rPr>
        <w:rFonts w:ascii="Symbol" w:hAnsi="Symbol" w:hint="default"/>
      </w:rPr>
    </w:lvl>
    <w:lvl w:ilvl="7" w:tplc="280A0003" w:tentative="1">
      <w:start w:val="1"/>
      <w:numFmt w:val="bullet"/>
      <w:lvlText w:val="o"/>
      <w:lvlJc w:val="left"/>
      <w:pPr>
        <w:ind w:left="5269" w:hanging="360"/>
      </w:pPr>
      <w:rPr>
        <w:rFonts w:ascii="Courier New" w:hAnsi="Courier New" w:cs="Courier New" w:hint="default"/>
      </w:rPr>
    </w:lvl>
    <w:lvl w:ilvl="8" w:tplc="280A0005" w:tentative="1">
      <w:start w:val="1"/>
      <w:numFmt w:val="bullet"/>
      <w:lvlText w:val=""/>
      <w:lvlJc w:val="left"/>
      <w:pPr>
        <w:ind w:left="5989" w:hanging="360"/>
      </w:pPr>
      <w:rPr>
        <w:rFonts w:ascii="Wingdings" w:hAnsi="Wingdings" w:hint="default"/>
      </w:rPr>
    </w:lvl>
  </w:abstractNum>
  <w:abstractNum w:abstractNumId="3" w15:restartNumberingAfterBreak="0">
    <w:nsid w:val="6CDD2DBF"/>
    <w:multiLevelType w:val="multilevel"/>
    <w:tmpl w:val="47A87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D4"/>
    <w:rsid w:val="002544FA"/>
    <w:rsid w:val="005D05E9"/>
    <w:rsid w:val="00756B75"/>
    <w:rsid w:val="00CE1FC4"/>
    <w:rsid w:val="00EC19D4"/>
    <w:rsid w:val="00F94F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A396"/>
  <w15:docId w15:val="{80591B80-57BB-8241-B580-9D174E67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2">
    <w:name w:val="Table Normal"/>
    <w:next w:val="TableNormal1"/>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lang w:eastAsia="es-PE"/>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atosabiertos.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atosabiertos.gob.pe/group/organismo-nacional-de-sanidad-pesquera-sanipes" TargetMode="External"/><Relationship Id="rId4" Type="http://schemas.openxmlformats.org/officeDocument/2006/relationships/settings" Target="settings.xml"/><Relationship Id="rId9" Type="http://schemas.openxmlformats.org/officeDocument/2006/relationships/hyperlink" Target="https://www.datosabiertos.gob.pe/dataset/dispositivos-legal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0TKcE+doRYpFlAy+ErytAwLlg==">AMUW2mUMIt0Xc7FG2mz68bZsP4j0LwoqtDh2Ow3ZqUIXecQgUPjtLa0X+0rL9ktzEl+bHRp2Bszo0y0xxvlEGL4oGszbXjNrjhHVx5JQ7U8Vl9Fa0Ftwxa5Tpv1PttNSl0eKbt09ZvYV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650</Words>
  <Characters>3577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5</cp:revision>
  <dcterms:created xsi:type="dcterms:W3CDTF">2022-04-28T20:36:00Z</dcterms:created>
  <dcterms:modified xsi:type="dcterms:W3CDTF">2023-01-10T16:07:00Z</dcterms:modified>
</cp:coreProperties>
</file>