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Nota de Prensa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China cancela medidas de control de Covid 19 para productos hidrobiológicos que lleguen al gigante asiático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0" w:hanging="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Sanipes comunica a las empresas exportadoras peruanas que deben continuar cumpliendo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lo dispuesto en la normativa vigente y sus modificatorias, emitidas por el Ministerio de Salud de nuestro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Organismo Nacional de Sanidad Pesquera (Sanipes), pone en conocimiento de las empresas que se encuentran en lista oficial, autorizadas para exportar a la República Popular China, y las que se encuentran interesadas en exportar a dicho destino; que la autoridad sanitaria del gigante asiático, ha cancelado el monitoreo y las pruebas de ácido nucleico para la Covid-19 en los puertos de entrada, para todos los alimentos importados de la cadena de frío y artículos que no sean de la cadena de frío.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Asimismo, la Administración General de Aduanas de China (GACC) a través del anuncio No. 131-2022,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valida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la Covid-19 como enfermedad infecciosa de Clase B en vez de Clase A.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bien, la GACC ha cancelado desde enero de este año, los monitoreos para detección de la Covid-19 en los lotes de alimentos importados de la cadena de frío y artículos que no sean de la cadena de frío en los puertos de entrada en destino, los operadores deben continuar con el cumplimiento de las medidas de prevención y control para evitar la propagación de la Covid-19 de acuerdo a lo establecido en sus protocolos de prevención, según la normativa sanitaria vigente emitida por el Ministerio de Salud de nuestro país.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Sanipes, como autoridad sanitaria del sector pesquero y acuícola, continuará con las acciones de fiscalización sanitaria a las empresas enlistadas para exportar a China, a fin de verificar el cumplimiento de las normativas sanitarias de la GACC.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Disposiciones ante la Covid-19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año anterior, la entidad china reforzó las medidas de prevención y los controles, ante los casos positivos de Covid-19, detectados en embalajes de productos hidrobiológicos que ingresaron a sus puertos provenientes de diversos orígenes.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 así que, Sanipes exhortó a las empresas peruanas en ser estrictas en la aplicación de las medidas de prevención y control del Covid- 19, en sus producciones y sus embarques, a fin de evitar situaciones que dificulten el flujo comercial entre las empresas productoras y exportadoras de productos hidrobiológicos y el mercado chino.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Cabe resaltar que, en el 2022, Sanipes emitió 1860 certificados sanitarios para la exportación de productos hidrobiológicos congelados hacia el mercado chino, otorgadas a 62 empresas peruanas exportadoras. Siendo, la pota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(Dosidicus gigas)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el langostino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(Penaeus vannamei)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el pez volador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(Exocoetus sp)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 el pejerrey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(Odontesthes regia)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las principales especies congeladas que exportamos a China en ese periodo.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Agradecemos su difusión.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695" w:left="1701" w:right="1701" w:header="567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0" w:hanging="2"/>
      <w:rPr>
        <w:sz w:val="10"/>
        <w:szCs w:val="1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4783014</wp:posOffset>
          </wp:positionH>
          <wp:positionV relativeFrom="paragraph">
            <wp:posOffset>59627</wp:posOffset>
          </wp:positionV>
          <wp:extent cx="1196502" cy="549428"/>
          <wp:effectExtent b="0" l="0" r="0" t="0"/>
          <wp:wrapNone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3205067</wp:posOffset>
          </wp:positionH>
          <wp:positionV relativeFrom="paragraph">
            <wp:posOffset>112173</wp:posOffset>
          </wp:positionV>
          <wp:extent cx="1377109" cy="432231"/>
          <wp:effectExtent b="0" l="0" r="0" t="0"/>
          <wp:wrapNone/>
          <wp:docPr id="3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109" cy="4322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Ca. Amador Merino Reyna 267 Piso 12 San Isidro - Lima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Carretera a Ventanilla km 5.2 - Callao</w:t>
      <w:br w:type="textWrapping"/>
      <w:t xml:space="preserve">www.gob.pe/sanipes</w:t>
    </w:r>
  </w:p>
  <w:p w:rsidR="00000000" w:rsidDel="00000000" w:rsidP="00000000" w:rsidRDefault="00000000" w:rsidRPr="00000000" w14:paraId="0000001C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-600066</wp:posOffset>
          </wp:positionH>
          <wp:positionV relativeFrom="paragraph">
            <wp:posOffset>11430</wp:posOffset>
          </wp:positionV>
          <wp:extent cx="2171700" cy="441960"/>
          <wp:effectExtent b="0" l="0" r="0" t="0"/>
          <wp:wrapNone/>
          <wp:docPr id="3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b="0" l="0" r="0" t="0"/>
          <wp:wrapNone/>
          <wp:docPr id="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“Año de la unidad, la paz y el desarrollo”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uiPriority w:val="99"/>
    <w:qFormat w:val="1"/>
    <w:pPr>
      <w:spacing w:after="0" w:line="240" w:lineRule="auto"/>
    </w:pPr>
  </w:style>
  <w:style w:type="character" w:styleId="EncabezadoCar" w:customStyle="1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uadrculaclara-nfasis31" w:customStyle="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 w:val="1"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0"/>
      <w:szCs w:val="20"/>
      <w:lang w:val="es-ES"/>
    </w:rPr>
  </w:style>
  <w:style w:type="character" w:styleId="TextoindependienteCar" w:customStyle="1">
    <w:name w:val="Texto independiente Car"/>
    <w:rPr>
      <w:rFonts w:ascii="Arial MT" w:cs="Arial MT" w:eastAsia="Arial MT" w:hAnsi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Ttulo11" w:customStyle="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1" w:customStyle="1">
    <w:name w:val="Normal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2" w:customStyle="1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2" w:customStyle="1">
    <w:name w:val="Normal2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table" w:styleId="TableNormal6" w:customStyle="1">
    <w:name w:val="Table Normal"/>
    <w:next w:val="TableNormal5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es-ES"/>
    </w:rPr>
  </w:style>
  <w:style w:type="character" w:styleId="Cuadrculaclara-nfasis3Car" w:customStyle="1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uadrculamedia2-nfasis11" w:customStyle="1">
    <w:name w:val="Cuadrícula media 2 - Énfasis 1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Century Gothic" w:cs="Century Gothic" w:hAnsi="Century Gothic"/>
      <w:color w:val="000000"/>
      <w:position w:val="-1"/>
      <w:sz w:val="24"/>
      <w:szCs w:val="24"/>
      <w:lang w:eastAsia="es-PE"/>
    </w:rPr>
  </w:style>
  <w:style w:type="paragraph" w:styleId="Cuadrculamedia1-nfasis21" w:customStyle="1">
    <w:name w:val="Cuadrícula media 1 - Énfasis 21"/>
    <w:aliases w:val="Bullet 1,titulo"/>
    <w:basedOn w:val="Normal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Cuadrculaclara-nfasis310" w:customStyle="1">
    <w:name w:val="Cuadrícula clara - Énfasis 31"/>
    <w:basedOn w:val="Normal"/>
    <w:pPr>
      <w:ind w:left="720"/>
      <w:contextualSpacing w:val="1"/>
    </w:pPr>
    <w:rPr>
      <w:lang w:eastAsia="ja-JP"/>
    </w:rPr>
  </w:style>
  <w:style w:type="paragraph" w:styleId="Cuadrculamedia21" w:customStyle="1">
    <w:name w:val="Cuadrícula media 2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Cuadrculamedia2Car" w:customStyle="1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rrafodelista1" w:customStyle="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 w:val="1"/>
    </w:pPr>
    <w:rPr>
      <w:rFonts w:ascii="Times New Roman" w:hAnsi="Times New Roman"/>
      <w:sz w:val="24"/>
      <w:szCs w:val="24"/>
      <w:lang w:eastAsia="es-ES" w:val="es-ES"/>
    </w:rPr>
  </w:style>
  <w:style w:type="character" w:styleId="Mencinsinresolver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arkzzkuas3gt" w:customStyle="1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174B23"/>
    <w:pPr>
      <w:ind w:left="720"/>
      <w:contextualSpacing w:val="1"/>
    </w:pPr>
  </w:style>
  <w:style w:type="paragraph" w:styleId="Sinespaciado">
    <w:name w:val="No Spacing"/>
    <w:uiPriority w:val="1"/>
    <w:qFormat w:val="1"/>
    <w:rsid w:val="00691135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4UssgD5+orQF6WOIBBxDm/BRog==">AMUW2mUFEf8zS4K6XPYN7MXWy+8ZwEVZTI5E5553dHcJAmbr4SQxId1krKX53xcrs6XLkNmuyysV6gemVOM2Kcu1DmAbVwV3gjo020LYV5Ck7kXXUqQB/Zk=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2022-04-28T20:36:00Z</dcterms:created>
  <dc:creator>Comunicaciones</dc:creator>
</cp:coreProperties>
</file>