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60A4" w14:textId="77777777" w:rsidR="00E87F70" w:rsidRDefault="00E87F7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530A6C70" w14:textId="77777777" w:rsidR="00E87F70" w:rsidRDefault="00E87F7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51EEDE14" w14:textId="77777777" w:rsidR="00E87F70" w:rsidRDefault="00E87F7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53CA737D" w14:textId="77777777" w:rsidR="00E87F70" w:rsidRDefault="0000000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NOTA DE PRENSA</w:t>
      </w:r>
    </w:p>
    <w:p w14:paraId="18BD7487" w14:textId="77777777" w:rsidR="00E87F70" w:rsidRDefault="00E87F7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372C2B05" w14:textId="77777777" w:rsidR="00E87F70" w:rsidRDefault="00000000">
      <w:pPr>
        <w:pBdr>
          <w:top w:val="nil"/>
          <w:left w:val="nil"/>
          <w:bottom w:val="nil"/>
          <w:right w:val="nil"/>
          <w:between w:val="nil"/>
        </w:pBdr>
        <w:spacing w:after="0" w:line="240" w:lineRule="auto"/>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DE FEBRERO A MAYO</w:t>
      </w:r>
    </w:p>
    <w:p w14:paraId="347B3FB3" w14:textId="77777777" w:rsidR="00E87F70" w:rsidRDefault="00000000">
      <w:pPr>
        <w:pBdr>
          <w:top w:val="nil"/>
          <w:left w:val="nil"/>
          <w:bottom w:val="nil"/>
          <w:right w:val="nil"/>
          <w:between w:val="nil"/>
        </w:pBdr>
        <w:spacing w:after="0" w:line="240" w:lineRule="auto"/>
        <w:rPr>
          <w:rFonts w:ascii="Century Gothic" w:eastAsia="Century Gothic" w:hAnsi="Century Gothic" w:cs="Century Gothic"/>
          <w:b/>
          <w:color w:val="000000"/>
          <w:sz w:val="26"/>
          <w:szCs w:val="26"/>
        </w:rPr>
      </w:pPr>
      <w:r>
        <w:rPr>
          <w:rFonts w:ascii="Century Gothic" w:eastAsia="Century Gothic" w:hAnsi="Century Gothic" w:cs="Century Gothic"/>
          <w:b/>
          <w:color w:val="000000"/>
          <w:sz w:val="26"/>
          <w:szCs w:val="26"/>
        </w:rPr>
        <w:t xml:space="preserve">DESARROLARÁN JORNADA DE CHARLAS INFORMATIVAS GRATUITAS PARA MARICULTORES  </w:t>
      </w:r>
    </w:p>
    <w:p w14:paraId="77478A8B" w14:textId="77777777" w:rsidR="00E87F70" w:rsidRDefault="00E87F70">
      <w:pPr>
        <w:pBdr>
          <w:top w:val="nil"/>
          <w:left w:val="nil"/>
          <w:bottom w:val="nil"/>
          <w:right w:val="nil"/>
          <w:between w:val="nil"/>
        </w:pBdr>
        <w:spacing w:after="0" w:line="240" w:lineRule="auto"/>
        <w:rPr>
          <w:rFonts w:ascii="Century Gothic" w:eastAsia="Century Gothic" w:hAnsi="Century Gothic" w:cs="Century Gothic"/>
          <w:b/>
          <w:color w:val="000000"/>
          <w:sz w:val="24"/>
          <w:szCs w:val="24"/>
        </w:rPr>
      </w:pPr>
    </w:p>
    <w:p w14:paraId="0E9AF281" w14:textId="02BBEC6D"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¡Buena noticia! Mañana miércoles 15 de febrero se inicia la jornada de charlas informativas organizada por el CITEpesquero Piura en alianza estratégica con SEACORP Perú, dirigida a los maricultores y productores acuícolas de la bahía de Sechura, quienes podrán fortalecer s</w:t>
      </w:r>
      <w:r w:rsidRPr="008E7E30">
        <w:rPr>
          <w:rFonts w:ascii="Century Gothic" w:hAnsi="Century Gothic"/>
          <w:lang w:val="en-US"/>
        </w:rPr>
        <w:t>u</w:t>
      </w:r>
      <w:r w:rsidRPr="008E7E30">
        <w:rPr>
          <w:rFonts w:ascii="Century Gothic" w:hAnsi="Century Gothic"/>
        </w:rPr>
        <w:t>s conocimientos en</w:t>
      </w:r>
      <w:r w:rsidRPr="008E7E30">
        <w:rPr>
          <w:rFonts w:ascii="Century Gothic" w:hAnsi="Century Gothic"/>
          <w:lang w:val="en-US"/>
        </w:rPr>
        <w:t xml:space="preserve"> Sostenibilidad en la </w:t>
      </w:r>
      <w:r w:rsidRPr="008E7E30">
        <w:rPr>
          <w:rFonts w:ascii="Century Gothic" w:hAnsi="Century Gothic"/>
        </w:rPr>
        <w:t xml:space="preserve">producción de semilla de concha de </w:t>
      </w:r>
      <w:r w:rsidR="008E7E30" w:rsidRPr="008E7E30">
        <w:rPr>
          <w:rFonts w:ascii="Century Gothic" w:hAnsi="Century Gothic"/>
        </w:rPr>
        <w:t>abanico,</w:t>
      </w:r>
      <w:r w:rsidR="008E7E30" w:rsidRPr="008E7E30">
        <w:rPr>
          <w:rFonts w:ascii="Century Gothic" w:hAnsi="Century Gothic"/>
          <w:lang w:val="en-US"/>
        </w:rPr>
        <w:t xml:space="preserve"> certificación</w:t>
      </w:r>
      <w:r w:rsidRPr="008E7E30">
        <w:rPr>
          <w:rFonts w:ascii="Century Gothic" w:hAnsi="Century Gothic"/>
        </w:rPr>
        <w:t xml:space="preserve"> y exportación.</w:t>
      </w:r>
    </w:p>
    <w:p w14:paraId="69560A04" w14:textId="77777777" w:rsidR="00E87F70" w:rsidRPr="008E7E30" w:rsidRDefault="00E87F70">
      <w:pPr>
        <w:pBdr>
          <w:top w:val="nil"/>
          <w:left w:val="nil"/>
          <w:bottom w:val="nil"/>
          <w:right w:val="nil"/>
          <w:between w:val="nil"/>
        </w:pBdr>
        <w:spacing w:after="0" w:line="240" w:lineRule="auto"/>
        <w:jc w:val="both"/>
        <w:rPr>
          <w:rFonts w:ascii="Century Gothic" w:hAnsi="Century Gothic"/>
          <w:bCs/>
        </w:rPr>
      </w:pPr>
    </w:p>
    <w:p w14:paraId="24CB1C6A" w14:textId="77777777"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 xml:space="preserve">Esta jornada se ejecutará en seis módulos, el primer módulo se desarrollará los días 15, 21 y 28 de febrero con el tema “Sostenibilidad de la siembra y cultivo de conchas de abanico” dónde se abordará los aspectos determinantes de la sostenibilidad </w:t>
      </w:r>
      <w:r w:rsidRPr="008E7E30">
        <w:rPr>
          <w:rFonts w:ascii="Century Gothic" w:hAnsi="Century Gothic"/>
          <w:lang w:val="en-US"/>
        </w:rPr>
        <w:t xml:space="preserve">económica, social y ambiental </w:t>
      </w:r>
      <w:r w:rsidRPr="008E7E30">
        <w:rPr>
          <w:rFonts w:ascii="Century Gothic" w:hAnsi="Century Gothic"/>
        </w:rPr>
        <w:t xml:space="preserve">del cultivo de conchas de abanico. </w:t>
      </w:r>
    </w:p>
    <w:p w14:paraId="1F0DC3A2" w14:textId="77777777" w:rsidR="00E87F70" w:rsidRPr="008E7E30" w:rsidRDefault="00E87F70">
      <w:pPr>
        <w:pBdr>
          <w:top w:val="nil"/>
          <w:left w:val="nil"/>
          <w:bottom w:val="nil"/>
          <w:right w:val="nil"/>
          <w:between w:val="nil"/>
        </w:pBdr>
        <w:spacing w:after="0" w:line="240" w:lineRule="auto"/>
        <w:jc w:val="both"/>
        <w:rPr>
          <w:rFonts w:ascii="Century Gothic" w:hAnsi="Century Gothic"/>
        </w:rPr>
      </w:pPr>
    </w:p>
    <w:p w14:paraId="6E16EF5F" w14:textId="77777777"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 xml:space="preserve">Estos temas estarán a cargo de los especialistas Magister Luisa Morote y el Ing. Diego Coronado. </w:t>
      </w:r>
    </w:p>
    <w:p w14:paraId="00EA0155" w14:textId="77777777" w:rsidR="00E87F70" w:rsidRPr="008E7E30" w:rsidRDefault="00E87F70">
      <w:pPr>
        <w:pBdr>
          <w:top w:val="nil"/>
          <w:left w:val="nil"/>
          <w:bottom w:val="nil"/>
          <w:right w:val="nil"/>
          <w:between w:val="nil"/>
        </w:pBdr>
        <w:spacing w:after="0" w:line="240" w:lineRule="auto"/>
        <w:jc w:val="both"/>
        <w:rPr>
          <w:rFonts w:ascii="Century Gothic" w:hAnsi="Century Gothic"/>
        </w:rPr>
      </w:pPr>
    </w:p>
    <w:p w14:paraId="2C41CA0F" w14:textId="707090CC"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Posteriormente, se desarrollará el segundo módulo con el tema “</w:t>
      </w:r>
      <w:r w:rsidRPr="008E7E30">
        <w:rPr>
          <w:rFonts w:ascii="Century Gothic" w:hAnsi="Century Gothic"/>
          <w:lang w:val="en-US"/>
        </w:rPr>
        <w:t>Monitoreo larval, captación y producción de semillas</w:t>
      </w:r>
      <w:r w:rsidR="008E7E30" w:rsidRPr="008E7E30">
        <w:rPr>
          <w:rFonts w:ascii="Century Gothic" w:hAnsi="Century Gothic"/>
          <w:lang w:val="en-US"/>
        </w:rPr>
        <w:t>”, que</w:t>
      </w:r>
      <w:r w:rsidRPr="008E7E30">
        <w:rPr>
          <w:rFonts w:ascii="Century Gothic" w:hAnsi="Century Gothic"/>
        </w:rPr>
        <w:t xml:space="preserve"> abarcará </w:t>
      </w:r>
      <w:r w:rsidRPr="008E7E30">
        <w:rPr>
          <w:rFonts w:ascii="Century Gothic" w:hAnsi="Century Gothic"/>
          <w:lang w:val="en-US"/>
        </w:rPr>
        <w:t xml:space="preserve">las actividades de monitoreo, sistemas y métodos de captación de semilla y producción de semilla de concha de </w:t>
      </w:r>
      <w:r w:rsidR="008E7E30" w:rsidRPr="008E7E30">
        <w:rPr>
          <w:rFonts w:ascii="Century Gothic" w:hAnsi="Century Gothic"/>
          <w:lang w:val="en-US"/>
        </w:rPr>
        <w:t>abanico (Hatchery</w:t>
      </w:r>
      <w:r w:rsidRPr="008E7E30">
        <w:rPr>
          <w:rFonts w:ascii="Century Gothic" w:hAnsi="Century Gothic"/>
          <w:lang w:val="en-US"/>
        </w:rPr>
        <w:t>).</w:t>
      </w:r>
    </w:p>
    <w:p w14:paraId="72F1736B" w14:textId="77777777" w:rsidR="00E87F70" w:rsidRPr="008E7E30" w:rsidRDefault="00E87F70">
      <w:pPr>
        <w:pBdr>
          <w:top w:val="nil"/>
          <w:left w:val="nil"/>
          <w:bottom w:val="nil"/>
          <w:right w:val="nil"/>
          <w:between w:val="nil"/>
        </w:pBdr>
        <w:spacing w:after="0" w:line="240" w:lineRule="auto"/>
        <w:jc w:val="both"/>
        <w:rPr>
          <w:rFonts w:ascii="Century Gothic" w:hAnsi="Century Gothic"/>
        </w:rPr>
      </w:pPr>
    </w:p>
    <w:p w14:paraId="33E5D0A3" w14:textId="77777777"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 xml:space="preserve">El tercer módulo abordará la Certificación Orgánica UE, el cuarto módulo la certificación ASC, el quinto módulo el Estándar MSC-COC aplicada al cultivo de concha de abanico y el sexto módulo explicará sobre las oportunidades y desafíos para la exportación de concha de abanico. </w:t>
      </w:r>
    </w:p>
    <w:p w14:paraId="1281C9B8" w14:textId="77777777" w:rsidR="00E87F70" w:rsidRPr="008E7E30" w:rsidRDefault="00E87F70">
      <w:pPr>
        <w:pBdr>
          <w:top w:val="nil"/>
          <w:left w:val="nil"/>
          <w:bottom w:val="nil"/>
          <w:right w:val="nil"/>
          <w:between w:val="nil"/>
        </w:pBdr>
        <w:spacing w:after="0" w:line="240" w:lineRule="auto"/>
        <w:jc w:val="both"/>
        <w:rPr>
          <w:rFonts w:ascii="Century Gothic" w:hAnsi="Century Gothic"/>
        </w:rPr>
      </w:pPr>
    </w:p>
    <w:p w14:paraId="18245CC8" w14:textId="77777777"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 xml:space="preserve">“Todos estos temas serán abordados de febrero a mayo del presente año. Lo que se busca es fortalecer los conocimientos y capacidades de los maricultores en estos temas importantes para lograr la sostenibilidad de la siembra, cultivo y exportación de la concha de abanico”, señaló, el director del CITEpesquero Piura, William Rivera Peña. </w:t>
      </w:r>
    </w:p>
    <w:p w14:paraId="46081C54" w14:textId="77777777" w:rsidR="00E87F70" w:rsidRPr="008E7E30" w:rsidRDefault="00E87F70">
      <w:pPr>
        <w:pBdr>
          <w:top w:val="nil"/>
          <w:left w:val="nil"/>
          <w:bottom w:val="nil"/>
          <w:right w:val="nil"/>
          <w:between w:val="nil"/>
        </w:pBdr>
        <w:spacing w:after="0" w:line="240" w:lineRule="auto"/>
        <w:jc w:val="both"/>
        <w:rPr>
          <w:rFonts w:ascii="Century Gothic" w:hAnsi="Century Gothic"/>
        </w:rPr>
      </w:pPr>
    </w:p>
    <w:p w14:paraId="40339AC8" w14:textId="7C43F9C5"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lang w:val="en-US"/>
        </w:rPr>
        <w:t>Por su</w:t>
      </w:r>
      <w:r w:rsidR="008E7E30">
        <w:rPr>
          <w:rFonts w:ascii="Century Gothic" w:hAnsi="Century Gothic"/>
          <w:lang w:val="en-US"/>
        </w:rPr>
        <w:t xml:space="preserve"> parte,</w:t>
      </w:r>
      <w:r w:rsidRPr="008E7E30">
        <w:rPr>
          <w:rFonts w:ascii="Century Gothic" w:hAnsi="Century Gothic"/>
          <w:lang w:val="en-US"/>
        </w:rPr>
        <w:t xml:space="preserve"> Eric Hanschke, socio fundador de Seacorp, </w:t>
      </w:r>
      <w:r w:rsidR="008E7E30" w:rsidRPr="008E7E30">
        <w:rPr>
          <w:rFonts w:ascii="Century Gothic" w:hAnsi="Century Gothic"/>
          <w:lang w:val="en-US"/>
        </w:rPr>
        <w:t xml:space="preserve">señaló que con éstas charlas de capacitación se </w:t>
      </w:r>
      <w:r w:rsidRPr="008E7E30">
        <w:rPr>
          <w:rFonts w:ascii="Century Gothic" w:hAnsi="Century Gothic"/>
          <w:lang w:val="en-US"/>
        </w:rPr>
        <w:t xml:space="preserve">busca que la comunidad de </w:t>
      </w:r>
      <w:r w:rsidR="008E7E30">
        <w:rPr>
          <w:rFonts w:ascii="Century Gothic" w:hAnsi="Century Gothic"/>
          <w:lang w:val="en-US"/>
        </w:rPr>
        <w:t>m</w:t>
      </w:r>
      <w:r w:rsidRPr="008E7E30">
        <w:rPr>
          <w:rFonts w:ascii="Century Gothic" w:hAnsi="Century Gothic"/>
          <w:lang w:val="en-US"/>
        </w:rPr>
        <w:t xml:space="preserve">aricultores en la </w:t>
      </w:r>
      <w:r w:rsidR="008E7E30">
        <w:rPr>
          <w:rFonts w:ascii="Century Gothic" w:hAnsi="Century Gothic"/>
          <w:lang w:val="en-US"/>
        </w:rPr>
        <w:t>b</w:t>
      </w:r>
      <w:r w:rsidRPr="008E7E30">
        <w:rPr>
          <w:rFonts w:ascii="Century Gothic" w:hAnsi="Century Gothic"/>
          <w:lang w:val="en-US"/>
        </w:rPr>
        <w:t xml:space="preserve">ahía de Sechura siga desarrollando capacidades en exportación para que puedan conectar con los mercados de concha de abanico alrededor del mundo. </w:t>
      </w:r>
    </w:p>
    <w:p w14:paraId="16C5C373" w14:textId="77777777" w:rsidR="00E87F70" w:rsidRPr="008E7E30" w:rsidRDefault="00E87F70">
      <w:pPr>
        <w:pBdr>
          <w:top w:val="nil"/>
          <w:left w:val="nil"/>
          <w:bottom w:val="nil"/>
          <w:right w:val="nil"/>
          <w:between w:val="nil"/>
        </w:pBdr>
        <w:spacing w:after="0" w:line="240" w:lineRule="auto"/>
        <w:jc w:val="both"/>
        <w:rPr>
          <w:rFonts w:ascii="Century Gothic" w:hAnsi="Century Gothic"/>
        </w:rPr>
      </w:pPr>
    </w:p>
    <w:p w14:paraId="3BE7CF9F" w14:textId="77777777" w:rsidR="00E87F70" w:rsidRPr="008E7E30" w:rsidRDefault="00000000">
      <w:pPr>
        <w:pBdr>
          <w:top w:val="nil"/>
          <w:left w:val="nil"/>
          <w:bottom w:val="nil"/>
          <w:right w:val="nil"/>
          <w:between w:val="nil"/>
        </w:pBdr>
        <w:spacing w:after="0" w:line="240" w:lineRule="auto"/>
        <w:jc w:val="both"/>
        <w:rPr>
          <w:rFonts w:ascii="Century Gothic" w:hAnsi="Century Gothic"/>
        </w:rPr>
      </w:pPr>
      <w:r w:rsidRPr="008E7E30">
        <w:rPr>
          <w:rFonts w:ascii="Century Gothic" w:hAnsi="Century Gothic"/>
        </w:rPr>
        <w:t>Cabe precisar que el cultivo de concha de abanico es una de las principales actividades de la acuicultura peruana, siendo la bahía de Sechura, en la región Piura, la zona de mayor producción nacional de moluscos bivalvos, representando entre el 70 y 80% de la producción nacional.</w:t>
      </w:r>
    </w:p>
    <w:p w14:paraId="040DE73F" w14:textId="77777777" w:rsidR="00E87F70" w:rsidRDefault="00E87F70">
      <w:pPr>
        <w:pBdr>
          <w:top w:val="nil"/>
          <w:left w:val="nil"/>
          <w:bottom w:val="nil"/>
          <w:right w:val="nil"/>
          <w:between w:val="nil"/>
        </w:pBdr>
        <w:spacing w:after="0" w:line="240" w:lineRule="auto"/>
        <w:jc w:val="both"/>
        <w:rPr>
          <w:rFonts w:ascii="Century Gothic" w:hAnsi="Century Gothic"/>
        </w:rPr>
      </w:pPr>
    </w:p>
    <w:sectPr w:rsidR="00E87F70">
      <w:headerReference w:type="default" r:id="rId6"/>
      <w:footerReference w:type="default" r:id="rId7"/>
      <w:pgSz w:w="11906" w:h="16838"/>
      <w:pgMar w:top="1135" w:right="1701" w:bottom="1134" w:left="1701" w:header="708"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0220" w14:textId="77777777" w:rsidR="004B23C9" w:rsidRDefault="004B23C9">
      <w:pPr>
        <w:spacing w:after="0" w:line="240" w:lineRule="auto"/>
      </w:pPr>
      <w:r>
        <w:separator/>
      </w:r>
    </w:p>
  </w:endnote>
  <w:endnote w:type="continuationSeparator" w:id="0">
    <w:p w14:paraId="42F6374C" w14:textId="77777777" w:rsidR="004B23C9" w:rsidRDefault="004B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018C" w14:textId="77777777" w:rsidR="00E87F70" w:rsidRDefault="00000000">
    <w:pPr>
      <w:pBdr>
        <w:top w:val="nil"/>
        <w:left w:val="nil"/>
        <w:bottom w:val="nil"/>
        <w:right w:val="nil"/>
        <w:between w:val="nil"/>
      </w:pBdr>
      <w:spacing w:after="0" w:line="240" w:lineRule="auto"/>
      <w:jc w:val="center"/>
      <w:rPr>
        <w:color w:val="595959"/>
        <w:sz w:val="14"/>
        <w:szCs w:val="14"/>
      </w:rPr>
    </w:pPr>
    <w:r>
      <w:rPr>
        <w:color w:val="595959"/>
        <w:sz w:val="14"/>
        <w:szCs w:val="14"/>
      </w:rPr>
      <w:t>Instituto Tecnológico de la Producción | Av. República de Panamá 3418 - San Isidro, Perú | T. (511) 577-0116, 577-0118 |</w:t>
    </w:r>
    <w:r>
      <w:rPr>
        <w:color w:val="FF0000"/>
        <w:sz w:val="14"/>
        <w:szCs w:val="14"/>
      </w:rPr>
      <w:t xml:space="preserve"> </w:t>
    </w:r>
    <w:r>
      <w:rPr>
        <w:color w:val="595959"/>
        <w:sz w:val="14"/>
        <w:szCs w:val="14"/>
      </w:rPr>
      <w:t>www.itp.gob.pe</w:t>
    </w:r>
  </w:p>
  <w:p w14:paraId="6C505895" w14:textId="77777777" w:rsidR="00E87F70" w:rsidRDefault="00E87F7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D09A" w14:textId="77777777" w:rsidR="004B23C9" w:rsidRDefault="004B23C9">
      <w:pPr>
        <w:spacing w:after="0" w:line="240" w:lineRule="auto"/>
      </w:pPr>
      <w:r>
        <w:separator/>
      </w:r>
    </w:p>
  </w:footnote>
  <w:footnote w:type="continuationSeparator" w:id="0">
    <w:p w14:paraId="0C6F1CBA" w14:textId="77777777" w:rsidR="004B23C9" w:rsidRDefault="004B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3267" w14:textId="11C86B0F" w:rsidR="00E87F70" w:rsidRDefault="008E7E30">
    <w:pPr>
      <w:tabs>
        <w:tab w:val="center" w:pos="4252"/>
        <w:tab w:val="right" w:pos="850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F1E0CD5" wp14:editId="7F9B560C">
          <wp:simplePos x="0" y="0"/>
          <wp:positionH relativeFrom="margin">
            <wp:posOffset>4501515</wp:posOffset>
          </wp:positionH>
          <wp:positionV relativeFrom="paragraph">
            <wp:posOffset>-135255</wp:posOffset>
          </wp:positionV>
          <wp:extent cx="1009650" cy="504190"/>
          <wp:effectExtent l="0" t="0" r="0" b="0"/>
          <wp:wrapTight wrapText="bothSides">
            <wp:wrapPolygon edited="0">
              <wp:start x="3668" y="0"/>
              <wp:lineTo x="815" y="2448"/>
              <wp:lineTo x="0" y="4897"/>
              <wp:lineTo x="0" y="20403"/>
              <wp:lineTo x="12634" y="20403"/>
              <wp:lineTo x="21192" y="16322"/>
              <wp:lineTo x="21192" y="13874"/>
              <wp:lineTo x="20377" y="12242"/>
              <wp:lineTo x="17525" y="8161"/>
              <wp:lineTo x="8558" y="0"/>
              <wp:lineTo x="366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09650" cy="5041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879794D" wp14:editId="238D4A45">
          <wp:simplePos x="0" y="0"/>
          <wp:positionH relativeFrom="column">
            <wp:posOffset>-451485</wp:posOffset>
          </wp:positionH>
          <wp:positionV relativeFrom="paragraph">
            <wp:posOffset>-49530</wp:posOffset>
          </wp:positionV>
          <wp:extent cx="2085975" cy="441038"/>
          <wp:effectExtent l="0" t="0" r="0" b="0"/>
          <wp:wrapTight wrapText="bothSides">
            <wp:wrapPolygon edited="0">
              <wp:start x="0" y="0"/>
              <wp:lineTo x="0" y="20542"/>
              <wp:lineTo x="21304" y="20542"/>
              <wp:lineTo x="2130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2085975" cy="441038"/>
                  </a:xfrm>
                  <a:prstGeom prst="rect">
                    <a:avLst/>
                  </a:prstGeom>
                </pic:spPr>
              </pic:pic>
            </a:graphicData>
          </a:graphic>
        </wp:anchor>
      </w:drawing>
    </w:r>
  </w:p>
  <w:p w14:paraId="3A2D811F" w14:textId="77777777" w:rsidR="00E87F70" w:rsidRDefault="00000000">
    <w:pPr>
      <w:pBdr>
        <w:top w:val="nil"/>
        <w:left w:val="nil"/>
        <w:bottom w:val="nil"/>
        <w:right w:val="nil"/>
        <w:between w:val="nil"/>
      </w:pBdr>
      <w:spacing w:after="0" w:line="240" w:lineRule="auto"/>
      <w:jc w:val="both"/>
      <w:rPr>
        <w:color w:val="000000"/>
      </w:rPr>
    </w:pPr>
    <w:r>
      <w:rPr>
        <w:noProof/>
      </w:rPr>
      <mc:AlternateContent>
        <mc:Choice Requires="wps">
          <w:drawing>
            <wp:anchor distT="0" distB="0" distL="0" distR="0" simplePos="0" relativeHeight="4" behindDoc="0" locked="0" layoutInCell="1" allowOverlap="1" wp14:anchorId="6D6B108B" wp14:editId="3F668754">
              <wp:simplePos x="0" y="0"/>
              <wp:positionH relativeFrom="column">
                <wp:posOffset>-901693</wp:posOffset>
              </wp:positionH>
              <wp:positionV relativeFrom="paragraph">
                <wp:posOffset>127000</wp:posOffset>
              </wp:positionV>
              <wp:extent cx="7581900" cy="216038"/>
              <wp:effectExtent l="0" t="0" r="0" b="0"/>
              <wp:wrapNone/>
              <wp:docPr id="40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16038"/>
                      </a:xfrm>
                      <a:prstGeom prst="rect">
                        <a:avLst/>
                      </a:prstGeom>
                      <a:ln>
                        <a:noFill/>
                      </a:ln>
                    </wps:spPr>
                    <wps:txbx>
                      <w:txbxContent>
                        <w:p w14:paraId="5B626B78" w14:textId="77777777" w:rsidR="00E87F70" w:rsidRDefault="00E87F70">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xmlns:wpsCustomData="http://www.wps.cn/officeDocument/2013/wpsCustomData">
          <w:pict>
            <v:rect id="4099" filled="f" stroked="f" style="position:absolute;margin-left:-71.0pt;margin-top:10.0pt;width:597.0pt;height:17.01pt;z-index:4;mso-position-horizontal-relative:text;mso-position-vertical-relative:text;mso-width-relative:page;mso-height-relative:page;mso-wrap-distance-left:0.0pt;mso-wrap-distance-right:0.0pt;visibility:visible;v-text-anchor:middle;">
              <v:stroke on="f"/>
              <v:fill/>
              <v:textbox inset="7.2pt,7.2pt,7.2pt,7.2pt">
                <w:txbxContent>
                  <w:p>
                    <w:pPr>
                      <w:pStyle w:val="style0"/>
                      <w:spacing w:after="0" w:lineRule="auto" w:line="240"/>
                      <w:textDirection w:val="btLr"/>
                      <w:rPr/>
                    </w:pPr>
                  </w:p>
                </w:txbxContent>
              </v:textbox>
            </v:rect>
          </w:pict>
        </mc:Fallback>
      </mc:AlternateContent>
    </w:r>
  </w:p>
  <w:p w14:paraId="7EBF44B8" w14:textId="77777777" w:rsidR="00E87F70" w:rsidRDefault="00E87F70">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70"/>
    <w:rsid w:val="004B23C9"/>
    <w:rsid w:val="008E7E30"/>
    <w:rsid w:val="00E87F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46C3"/>
  <w15:docId w15:val="{CF80702C-F77D-46CD-95D5-A8983D7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E7E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7E30"/>
  </w:style>
  <w:style w:type="paragraph" w:styleId="Piedepgina">
    <w:name w:val="footer"/>
    <w:basedOn w:val="Normal"/>
    <w:link w:val="PiedepginaCar"/>
    <w:uiPriority w:val="99"/>
    <w:unhideWhenUsed/>
    <w:rsid w:val="008E7E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2013</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PCPiura01</dc:creator>
  <cp:lastModifiedBy>Nioma Merly Manrique Puelles</cp:lastModifiedBy>
  <cp:revision>2</cp:revision>
  <dcterms:created xsi:type="dcterms:W3CDTF">2023-02-14T16:52:00Z</dcterms:created>
  <dcterms:modified xsi:type="dcterms:W3CDTF">2023-02-14T16:52:00Z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40ec376cb6b04d14b2f04cef66257c7f</vt:lpwstr>
  </property>
</Properties>
</file>