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585" w:rsidRDefault="00170D90">
      <w:pPr>
        <w:ind w:left="0" w:hanging="2"/>
        <w:jc w:val="center"/>
        <w:rPr>
          <w:rFonts w:ascii="Arial" w:eastAsia="Arial" w:hAnsi="Arial" w:cs="Arial"/>
          <w:b/>
          <w:u w:val="single"/>
        </w:rPr>
      </w:pPr>
      <w:r>
        <w:rPr>
          <w:rFonts w:ascii="Arial" w:eastAsia="Arial" w:hAnsi="Arial" w:cs="Arial"/>
          <w:b/>
          <w:u w:val="single"/>
        </w:rPr>
        <w:t>Nota de Prensa</w:t>
      </w:r>
    </w:p>
    <w:p w:rsidR="00B36585" w:rsidRDefault="00170D90">
      <w:pPr>
        <w:pBdr>
          <w:top w:val="nil"/>
          <w:left w:val="nil"/>
          <w:bottom w:val="nil"/>
          <w:right w:val="nil"/>
          <w:between w:val="nil"/>
        </w:pBdr>
        <w:spacing w:after="0" w:line="240" w:lineRule="auto"/>
        <w:ind w:left="1" w:hanging="3"/>
        <w:jc w:val="center"/>
        <w:rPr>
          <w:rFonts w:ascii="Arial" w:eastAsia="Arial" w:hAnsi="Arial" w:cs="Arial"/>
          <w:b/>
          <w:color w:val="000000"/>
          <w:sz w:val="24"/>
          <w:szCs w:val="24"/>
        </w:rPr>
      </w:pPr>
      <w:r>
        <w:rPr>
          <w:rFonts w:ascii="Arial" w:eastAsia="Arial" w:hAnsi="Arial" w:cs="Arial"/>
          <w:b/>
          <w:color w:val="000000"/>
          <w:sz w:val="34"/>
          <w:szCs w:val="34"/>
        </w:rPr>
        <w:t>Sanipes impulsará la habilitación sanitaria de centros de cultivo de Ayacucho</w:t>
      </w:r>
    </w:p>
    <w:p w:rsidR="00B36585" w:rsidRDefault="00D307A8">
      <w:pPr>
        <w:pBdr>
          <w:top w:val="nil"/>
          <w:left w:val="nil"/>
          <w:bottom w:val="nil"/>
          <w:right w:val="nil"/>
          <w:between w:val="nil"/>
        </w:pBdr>
        <w:spacing w:after="0" w:line="240" w:lineRule="auto"/>
        <w:ind w:left="0" w:hanging="2"/>
        <w:jc w:val="both"/>
        <w:rPr>
          <w:rFonts w:ascii="Arial" w:eastAsia="Arial" w:hAnsi="Arial" w:cs="Arial"/>
          <w:i/>
          <w:color w:val="212121"/>
          <w:sz w:val="20"/>
          <w:szCs w:val="20"/>
        </w:rPr>
      </w:pPr>
      <w:bookmarkStart w:id="0" w:name="_heading=h.gjdgxs" w:colFirst="0" w:colLast="0"/>
      <w:bookmarkEnd w:id="0"/>
      <w:r>
        <w:rPr>
          <w:rFonts w:ascii="Arial" w:eastAsia="Arial" w:hAnsi="Arial" w:cs="Arial"/>
          <w:i/>
          <w:color w:val="212121"/>
          <w:sz w:val="20"/>
          <w:szCs w:val="20"/>
        </w:rPr>
        <w:t>B</w:t>
      </w:r>
      <w:r w:rsidR="00170D90">
        <w:rPr>
          <w:rFonts w:ascii="Arial" w:eastAsia="Arial" w:hAnsi="Arial" w:cs="Arial"/>
          <w:i/>
          <w:color w:val="212121"/>
          <w:sz w:val="20"/>
          <w:szCs w:val="20"/>
        </w:rPr>
        <w:t xml:space="preserve">rindaremos asistencia técnica para la formalización de la producción acuícola </w:t>
      </w:r>
      <w:r w:rsidR="002A69CA">
        <w:rPr>
          <w:rFonts w:ascii="Arial" w:eastAsia="Arial" w:hAnsi="Arial" w:cs="Arial"/>
          <w:i/>
          <w:color w:val="212121"/>
          <w:sz w:val="20"/>
          <w:szCs w:val="20"/>
        </w:rPr>
        <w:t xml:space="preserve">ayacuchana </w:t>
      </w:r>
      <w:r>
        <w:rPr>
          <w:rFonts w:ascii="Arial" w:eastAsia="Arial" w:hAnsi="Arial" w:cs="Arial"/>
          <w:i/>
          <w:color w:val="212121"/>
          <w:sz w:val="20"/>
          <w:szCs w:val="20"/>
        </w:rPr>
        <w:t xml:space="preserve">ejecutando el </w:t>
      </w:r>
      <w:r>
        <w:rPr>
          <w:rFonts w:ascii="Arial" w:eastAsia="Arial" w:hAnsi="Arial" w:cs="Arial"/>
          <w:i/>
          <w:color w:val="212121"/>
          <w:sz w:val="20"/>
          <w:szCs w:val="20"/>
        </w:rPr>
        <w:t>Convenio Marco Interinstitucional</w:t>
      </w:r>
      <w:r w:rsidR="002A69CA">
        <w:rPr>
          <w:rFonts w:ascii="Arial" w:eastAsia="Arial" w:hAnsi="Arial" w:cs="Arial"/>
          <w:i/>
          <w:color w:val="212121"/>
          <w:sz w:val="20"/>
          <w:szCs w:val="20"/>
        </w:rPr>
        <w:t xml:space="preserve"> suscrito </w:t>
      </w:r>
      <w:r>
        <w:rPr>
          <w:rFonts w:ascii="Arial" w:eastAsia="Arial" w:hAnsi="Arial" w:cs="Arial"/>
          <w:i/>
          <w:color w:val="212121"/>
          <w:sz w:val="20"/>
          <w:szCs w:val="20"/>
        </w:rPr>
        <w:t>con el GORE Ayacucho</w:t>
      </w:r>
    </w:p>
    <w:p w:rsidR="00B36585" w:rsidRDefault="00B36585">
      <w:pPr>
        <w:pBdr>
          <w:top w:val="nil"/>
          <w:left w:val="nil"/>
          <w:bottom w:val="nil"/>
          <w:right w:val="nil"/>
          <w:between w:val="nil"/>
        </w:pBdr>
        <w:spacing w:after="0" w:line="240" w:lineRule="auto"/>
        <w:jc w:val="both"/>
        <w:rPr>
          <w:rFonts w:ascii="Arial" w:eastAsia="Arial" w:hAnsi="Arial" w:cs="Arial"/>
          <w:color w:val="000000"/>
          <w:sz w:val="10"/>
          <w:szCs w:val="10"/>
        </w:rPr>
      </w:pPr>
    </w:p>
    <w:p w:rsidR="00B36585" w:rsidRPr="00D307A8" w:rsidRDefault="00170D90" w:rsidP="00D307A8">
      <w:pPr>
        <w:pStyle w:val="Sinespaciado"/>
        <w:ind w:left="0" w:hanging="2"/>
        <w:jc w:val="both"/>
        <w:rPr>
          <w:rFonts w:ascii="Arial" w:hAnsi="Arial" w:cs="Arial"/>
          <w:sz w:val="20"/>
          <w:szCs w:val="20"/>
        </w:rPr>
      </w:pPr>
      <w:r w:rsidRPr="00D307A8">
        <w:rPr>
          <w:rFonts w:ascii="Arial" w:hAnsi="Arial" w:cs="Arial"/>
          <w:sz w:val="20"/>
          <w:szCs w:val="20"/>
        </w:rPr>
        <w:t>El Organismo Nacional de Sanidad Pesquera (Sanipes), entidad adscrita al Ministerio de la Producción, impulsará la habilitación sanitaria de los centros de cultivo del departamento de Ayacucho, lo cual incrementará sus ingresos, el comercio y la economía de la región.</w:t>
      </w:r>
    </w:p>
    <w:p w:rsidR="00B36585" w:rsidRPr="00D307A8" w:rsidRDefault="00B36585" w:rsidP="00D307A8">
      <w:pPr>
        <w:pStyle w:val="Sinespaciado"/>
        <w:jc w:val="both"/>
        <w:rPr>
          <w:rFonts w:ascii="Arial" w:hAnsi="Arial" w:cs="Arial"/>
          <w:sz w:val="10"/>
          <w:szCs w:val="10"/>
        </w:rPr>
      </w:pPr>
    </w:p>
    <w:p w:rsidR="00D307A8" w:rsidRPr="00D307A8" w:rsidRDefault="00D307A8" w:rsidP="00D307A8">
      <w:pPr>
        <w:pStyle w:val="Sinespaciado"/>
        <w:ind w:left="0" w:hanging="2"/>
        <w:jc w:val="both"/>
        <w:rPr>
          <w:rFonts w:ascii="Arial" w:hAnsi="Arial" w:cs="Arial"/>
          <w:sz w:val="20"/>
          <w:szCs w:val="20"/>
        </w:rPr>
      </w:pPr>
      <w:r w:rsidRPr="00D307A8">
        <w:rPr>
          <w:rFonts w:ascii="Arial" w:hAnsi="Arial" w:cs="Arial"/>
          <w:sz w:val="20"/>
          <w:szCs w:val="20"/>
        </w:rPr>
        <w:t>Ello se hará en trabajo coordinado con el Gobierno Regional (GORE) de Ayacucho, con la ejecución del Convenio Marco de Cooperación Interinstitucional firmado entre ambas</w:t>
      </w:r>
      <w:r w:rsidRPr="00D307A8">
        <w:rPr>
          <w:rFonts w:ascii="Arial" w:hAnsi="Arial" w:cs="Arial"/>
          <w:sz w:val="20"/>
          <w:szCs w:val="20"/>
        </w:rPr>
        <w:t xml:space="preserve"> </w:t>
      </w:r>
      <w:r w:rsidRPr="00D307A8">
        <w:rPr>
          <w:rFonts w:ascii="Arial" w:hAnsi="Arial" w:cs="Arial"/>
          <w:sz w:val="20"/>
          <w:szCs w:val="20"/>
        </w:rPr>
        <w:t>instituciones recientemente, buscando la formalización de la producción acuícola ayacuchana.</w:t>
      </w:r>
    </w:p>
    <w:p w:rsidR="00D307A8" w:rsidRPr="00D307A8" w:rsidRDefault="00D307A8" w:rsidP="00D307A8">
      <w:pPr>
        <w:pStyle w:val="Sinespaciado"/>
        <w:jc w:val="both"/>
        <w:rPr>
          <w:rFonts w:ascii="Arial" w:hAnsi="Arial" w:cs="Arial"/>
          <w:sz w:val="10"/>
          <w:szCs w:val="10"/>
        </w:rPr>
      </w:pPr>
    </w:p>
    <w:p w:rsidR="00B36585" w:rsidRPr="00D307A8" w:rsidRDefault="00170D90" w:rsidP="00D307A8">
      <w:pPr>
        <w:pStyle w:val="Sinespaciado"/>
        <w:ind w:left="0" w:hanging="2"/>
        <w:jc w:val="both"/>
        <w:rPr>
          <w:rFonts w:ascii="Arial" w:hAnsi="Arial" w:cs="Arial"/>
          <w:sz w:val="20"/>
          <w:szCs w:val="20"/>
        </w:rPr>
      </w:pPr>
      <w:r w:rsidRPr="00D307A8">
        <w:rPr>
          <w:rFonts w:ascii="Arial" w:hAnsi="Arial" w:cs="Arial"/>
          <w:sz w:val="20"/>
          <w:szCs w:val="20"/>
        </w:rPr>
        <w:t xml:space="preserve">De esta forma, se busca disminuir la brecha que existe en la región Ayacucho, ya que de los 302 centros de producción acuícola con derechos otorgados de la </w:t>
      </w:r>
      <w:r w:rsidRPr="00D307A8">
        <w:rPr>
          <w:rFonts w:ascii="Arial" w:hAnsi="Arial" w:cs="Arial"/>
          <w:color w:val="212121"/>
          <w:sz w:val="20"/>
          <w:szCs w:val="20"/>
        </w:rPr>
        <w:t>Acuicultura de Micro y Pequeña Empresa (</w:t>
      </w:r>
      <w:r w:rsidRPr="00D307A8">
        <w:rPr>
          <w:rFonts w:ascii="Arial" w:hAnsi="Arial" w:cs="Arial"/>
          <w:sz w:val="20"/>
          <w:szCs w:val="20"/>
        </w:rPr>
        <w:t>AMYPE) y Acuicultura de Recursos Limitados (AREL), solo uno cuenta con protocolo técnico de habilitación sanitaria.</w:t>
      </w:r>
    </w:p>
    <w:p w:rsidR="00B36585" w:rsidRPr="00D307A8" w:rsidRDefault="00B36585" w:rsidP="00D307A8">
      <w:pPr>
        <w:pStyle w:val="Sinespaciado"/>
        <w:jc w:val="both"/>
        <w:rPr>
          <w:rFonts w:ascii="Arial" w:hAnsi="Arial" w:cs="Arial"/>
          <w:sz w:val="10"/>
          <w:szCs w:val="10"/>
        </w:rPr>
      </w:pPr>
      <w:bookmarkStart w:id="1" w:name="_GoBack"/>
      <w:bookmarkEnd w:id="1"/>
    </w:p>
    <w:p w:rsidR="00B36585" w:rsidRPr="00D307A8" w:rsidRDefault="00170D90" w:rsidP="00D307A8">
      <w:pPr>
        <w:pStyle w:val="Sinespaciado"/>
        <w:ind w:left="0" w:hanging="2"/>
        <w:jc w:val="both"/>
        <w:rPr>
          <w:rFonts w:ascii="Arial" w:hAnsi="Arial" w:cs="Arial"/>
          <w:color w:val="212121"/>
          <w:sz w:val="20"/>
          <w:szCs w:val="20"/>
        </w:rPr>
      </w:pPr>
      <w:r w:rsidRPr="00D307A8">
        <w:rPr>
          <w:rFonts w:ascii="Arial" w:hAnsi="Arial" w:cs="Arial"/>
          <w:color w:val="212121"/>
          <w:sz w:val="20"/>
          <w:szCs w:val="20"/>
        </w:rPr>
        <w:t xml:space="preserve">Cabe mencionar, que </w:t>
      </w:r>
      <w:r w:rsidR="00877A9C">
        <w:rPr>
          <w:rFonts w:ascii="Arial" w:eastAsia="Arial" w:hAnsi="Arial" w:cs="Arial"/>
          <w:color w:val="212121"/>
          <w:sz w:val="20"/>
          <w:szCs w:val="20"/>
        </w:rPr>
        <w:t xml:space="preserve">la </w:t>
      </w:r>
      <w:r w:rsidR="00877A9C">
        <w:rPr>
          <w:rFonts w:ascii="Arial" w:eastAsia="Arial" w:hAnsi="Arial" w:cs="Arial"/>
          <w:color w:val="000000"/>
          <w:sz w:val="20"/>
          <w:szCs w:val="20"/>
        </w:rPr>
        <w:t>Dirección Regional de la Producción</w:t>
      </w:r>
      <w:r w:rsidR="00877A9C">
        <w:rPr>
          <w:rFonts w:ascii="Arial" w:eastAsia="Arial" w:hAnsi="Arial" w:cs="Arial"/>
          <w:color w:val="212121"/>
          <w:sz w:val="20"/>
          <w:szCs w:val="20"/>
        </w:rPr>
        <w:t xml:space="preserve"> </w:t>
      </w:r>
      <w:r w:rsidR="00877A9C">
        <w:rPr>
          <w:rFonts w:ascii="Arial" w:eastAsia="Arial" w:hAnsi="Arial" w:cs="Arial"/>
          <w:color w:val="212121"/>
          <w:sz w:val="20"/>
          <w:szCs w:val="20"/>
        </w:rPr>
        <w:t>(</w:t>
      </w:r>
      <w:r w:rsidRPr="00D307A8">
        <w:rPr>
          <w:rFonts w:ascii="Arial" w:hAnsi="Arial" w:cs="Arial"/>
          <w:color w:val="212121"/>
          <w:sz w:val="20"/>
          <w:szCs w:val="20"/>
        </w:rPr>
        <w:t>DIREPRO</w:t>
      </w:r>
      <w:r w:rsidR="00877A9C">
        <w:rPr>
          <w:rFonts w:ascii="Arial" w:hAnsi="Arial" w:cs="Arial"/>
          <w:color w:val="212121"/>
          <w:sz w:val="20"/>
          <w:szCs w:val="20"/>
        </w:rPr>
        <w:t>)</w:t>
      </w:r>
      <w:r w:rsidRPr="00D307A8">
        <w:rPr>
          <w:rFonts w:ascii="Arial" w:hAnsi="Arial" w:cs="Arial"/>
          <w:color w:val="212121"/>
          <w:sz w:val="20"/>
          <w:szCs w:val="20"/>
        </w:rPr>
        <w:t xml:space="preserve"> Ayacucho precisará la lista de los 158 centros de producción acuícola de la AMYPE con derecho vigente que participarán del ámbito del convenio, además de asumir los </w:t>
      </w:r>
      <w:r w:rsidRPr="00D307A8">
        <w:rPr>
          <w:rFonts w:ascii="Arial" w:hAnsi="Arial" w:cs="Arial"/>
          <w:sz w:val="20"/>
          <w:szCs w:val="20"/>
        </w:rPr>
        <w:t>costos de la elaboración de los requisitos normativos (Plano de distribución visado por un arquitecto o ingeniero, memoria descriptiva, manuales de higiene y saneamiento y Manual de Buenas Prácticas Acuícolas) para los trámites de habilitación sanitaria.</w:t>
      </w:r>
    </w:p>
    <w:p w:rsidR="00B36585" w:rsidRDefault="00B36585">
      <w:pPr>
        <w:spacing w:after="0" w:line="240" w:lineRule="auto"/>
        <w:jc w:val="both"/>
        <w:rPr>
          <w:rFonts w:ascii="Arial" w:eastAsia="Arial" w:hAnsi="Arial" w:cs="Arial"/>
          <w:color w:val="212121"/>
          <w:sz w:val="10"/>
          <w:szCs w:val="10"/>
        </w:rPr>
      </w:pPr>
    </w:p>
    <w:p w:rsidR="00B36585" w:rsidRDefault="00170D9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Próximamente, </w:t>
      </w:r>
      <w:r w:rsidR="00C44535">
        <w:rPr>
          <w:rFonts w:ascii="Arial" w:eastAsia="Arial" w:hAnsi="Arial" w:cs="Arial"/>
          <w:color w:val="000000"/>
          <w:sz w:val="20"/>
          <w:szCs w:val="20"/>
        </w:rPr>
        <w:t xml:space="preserve">Sanipes </w:t>
      </w:r>
      <w:r>
        <w:rPr>
          <w:rFonts w:ascii="Arial" w:eastAsia="Arial" w:hAnsi="Arial" w:cs="Arial"/>
          <w:color w:val="000000"/>
          <w:sz w:val="20"/>
          <w:szCs w:val="20"/>
        </w:rPr>
        <w:t xml:space="preserve">tiene previsto replicar estas acciones en otras tres regiones altoandinas, sumando esfuerzos para fomentar la formalización y fortalecer la cadena de producción acuícola, a fin de garantizar la sanidad e inocuidad de los recursos y productos </w:t>
      </w:r>
      <w:r w:rsidR="00C44535">
        <w:rPr>
          <w:rFonts w:ascii="Arial" w:eastAsia="Arial" w:hAnsi="Arial" w:cs="Arial"/>
          <w:color w:val="000000"/>
          <w:sz w:val="20"/>
          <w:szCs w:val="20"/>
        </w:rPr>
        <w:t>provenientes de la acuicultura</w:t>
      </w:r>
      <w:r>
        <w:rPr>
          <w:rFonts w:ascii="Arial" w:eastAsia="Arial" w:hAnsi="Arial" w:cs="Arial"/>
          <w:color w:val="000000"/>
          <w:sz w:val="20"/>
          <w:szCs w:val="20"/>
        </w:rPr>
        <w:t>, mediante el desarrollo de estrategias y acciones conjuntas.</w:t>
      </w:r>
    </w:p>
    <w:p w:rsidR="00B36585" w:rsidRDefault="00B36585">
      <w:pPr>
        <w:pBdr>
          <w:top w:val="nil"/>
          <w:left w:val="nil"/>
          <w:bottom w:val="nil"/>
          <w:right w:val="nil"/>
          <w:between w:val="nil"/>
        </w:pBdr>
        <w:spacing w:after="0" w:line="240" w:lineRule="auto"/>
        <w:ind w:left="0" w:hanging="2"/>
        <w:rPr>
          <w:rFonts w:ascii="Arial" w:eastAsia="Arial" w:hAnsi="Arial" w:cs="Arial"/>
          <w:color w:val="000000"/>
          <w:sz w:val="20"/>
          <w:szCs w:val="20"/>
        </w:rPr>
      </w:pPr>
    </w:p>
    <w:p w:rsidR="00B36585" w:rsidRDefault="00170D90">
      <w:pPr>
        <w:pBdr>
          <w:top w:val="nil"/>
          <w:left w:val="nil"/>
          <w:bottom w:val="nil"/>
          <w:right w:val="nil"/>
          <w:between w:val="nil"/>
        </w:pBdr>
        <w:spacing w:after="0" w:line="240" w:lineRule="auto"/>
        <w:ind w:left="0" w:hanging="2"/>
        <w:rPr>
          <w:rFonts w:ascii="Arial" w:eastAsia="Arial" w:hAnsi="Arial" w:cs="Arial"/>
          <w:b/>
          <w:color w:val="000000"/>
        </w:rPr>
      </w:pPr>
      <w:r>
        <w:rPr>
          <w:rFonts w:ascii="Arial" w:eastAsia="Arial" w:hAnsi="Arial" w:cs="Arial"/>
          <w:b/>
          <w:color w:val="000000"/>
        </w:rPr>
        <w:t>Compromiso de Sanipes</w:t>
      </w:r>
    </w:p>
    <w:p w:rsidR="00B36585" w:rsidRDefault="00170D90">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sz w:val="20"/>
          <w:szCs w:val="20"/>
        </w:rPr>
        <w:t>Entre las principales actividades que realizará Sanipes para la ejecución de este convenio, está la fiscalización orientativa conjunta a los centros de producción acuícola con derecho vigente otorgado por DIREPRO Ayacucho y las ecloserías, la capacitación y acompañamiento en el cumplimiento de la norma sanitaria, y la proposición de lineamientos para la elaboración de los manuales de Buenas Prácticas Acuícolas y de Higiene y Saneamiento, en el marco de la normativa existente.</w:t>
      </w:r>
    </w:p>
    <w:p w:rsidR="00B36585" w:rsidRDefault="00B36585">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rsidR="00B36585" w:rsidRDefault="00170D90">
      <w:pPr>
        <w:pBdr>
          <w:top w:val="nil"/>
          <w:left w:val="nil"/>
          <w:bottom w:val="nil"/>
          <w:right w:val="nil"/>
          <w:between w:val="nil"/>
        </w:pBdr>
        <w:spacing w:after="0" w:line="240" w:lineRule="auto"/>
        <w:ind w:left="0" w:hanging="2"/>
        <w:jc w:val="both"/>
        <w:rPr>
          <w:rFonts w:ascii="Arial" w:eastAsia="Arial" w:hAnsi="Arial" w:cs="Arial"/>
          <w:b/>
          <w:color w:val="000000"/>
        </w:rPr>
      </w:pPr>
      <w:r>
        <w:rPr>
          <w:rFonts w:ascii="Arial" w:eastAsia="Arial" w:hAnsi="Arial" w:cs="Arial"/>
          <w:b/>
          <w:color w:val="000000"/>
        </w:rPr>
        <w:t>Dato de Interés</w:t>
      </w:r>
    </w:p>
    <w:p w:rsidR="00B36585" w:rsidRDefault="00170D90">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El Título Habilitante emitido por Sanipes, se obtiene a través de un procedimiento por el cual la autoridad sanitaria verifica que el diseño, construcción, equipamiento y las condiciones operativas de la infraestructura pesquera o acuícola, cumpla con todos los requisitos señalados en la normativa sanitaria vigente.</w:t>
      </w:r>
    </w:p>
    <w:p w:rsidR="00B36585" w:rsidRDefault="00B36585">
      <w:pPr>
        <w:spacing w:after="0" w:line="240" w:lineRule="auto"/>
        <w:ind w:left="0" w:hanging="2"/>
        <w:jc w:val="both"/>
        <w:rPr>
          <w:rFonts w:ascii="Arial" w:eastAsia="Arial" w:hAnsi="Arial" w:cs="Arial"/>
          <w:color w:val="212121"/>
        </w:rPr>
      </w:pPr>
    </w:p>
    <w:p w:rsidR="00B36585" w:rsidRDefault="00170D90">
      <w:pPr>
        <w:spacing w:after="0" w:line="240" w:lineRule="auto"/>
        <w:ind w:left="0" w:hanging="2"/>
        <w:jc w:val="both"/>
        <w:rPr>
          <w:rFonts w:ascii="Arial" w:eastAsia="Arial" w:hAnsi="Arial" w:cs="Arial"/>
          <w:color w:val="212121"/>
        </w:rPr>
      </w:pPr>
      <w:r>
        <w:rPr>
          <w:rFonts w:ascii="Arial" w:eastAsia="Arial" w:hAnsi="Arial" w:cs="Arial"/>
          <w:color w:val="212121"/>
        </w:rPr>
        <w:t>Agradecemos su difusión.</w:t>
      </w:r>
    </w:p>
    <w:p w:rsidR="00B36585" w:rsidRDefault="00B36585">
      <w:pPr>
        <w:spacing w:after="0" w:line="240" w:lineRule="auto"/>
        <w:ind w:left="0" w:hanging="2"/>
        <w:jc w:val="both"/>
        <w:rPr>
          <w:rFonts w:ascii="Arial" w:eastAsia="Arial" w:hAnsi="Arial" w:cs="Arial"/>
          <w:color w:val="212121"/>
        </w:rPr>
      </w:pPr>
    </w:p>
    <w:p w:rsidR="00B36585" w:rsidRDefault="00B36585">
      <w:pPr>
        <w:spacing w:after="0" w:line="240" w:lineRule="auto"/>
        <w:ind w:left="0" w:hanging="2"/>
        <w:jc w:val="both"/>
        <w:rPr>
          <w:rFonts w:ascii="Arial" w:eastAsia="Arial" w:hAnsi="Arial" w:cs="Arial"/>
          <w:color w:val="212121"/>
        </w:rPr>
      </w:pPr>
    </w:p>
    <w:sectPr w:rsidR="00B36585">
      <w:headerReference w:type="even" r:id="rId7"/>
      <w:headerReference w:type="default" r:id="rId8"/>
      <w:footerReference w:type="even" r:id="rId9"/>
      <w:footerReference w:type="default" r:id="rId10"/>
      <w:headerReference w:type="first" r:id="rId11"/>
      <w:footerReference w:type="first" r:id="rId12"/>
      <w:pgSz w:w="11906" w:h="16838"/>
      <w:pgMar w:top="1695" w:right="1701" w:bottom="1417" w:left="1701" w:header="567" w:footer="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66" w:rsidRDefault="00565866">
      <w:pPr>
        <w:spacing w:after="0" w:line="240" w:lineRule="auto"/>
        <w:ind w:left="0" w:hanging="2"/>
      </w:pPr>
      <w:r>
        <w:separator/>
      </w:r>
    </w:p>
  </w:endnote>
  <w:endnote w:type="continuationSeparator" w:id="0">
    <w:p w:rsidR="00565866" w:rsidRDefault="0056586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MT">
    <w:altName w:val="Arial"/>
    <w:panose1 w:val="020B0604020202020204"/>
    <w:charset w:val="01"/>
    <w:family w:val="swiss"/>
    <w:pitch w:val="variable"/>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85" w:rsidRDefault="00B36585">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85" w:rsidRDefault="00B36585">
    <w:pPr>
      <w:tabs>
        <w:tab w:val="left" w:pos="-284"/>
      </w:tabs>
      <w:spacing w:after="0" w:line="360" w:lineRule="auto"/>
      <w:ind w:right="-568"/>
      <w:jc w:val="both"/>
      <w:rPr>
        <w:sz w:val="14"/>
        <w:szCs w:val="14"/>
      </w:rPr>
    </w:pPr>
  </w:p>
  <w:p w:rsidR="00B36585" w:rsidRDefault="00170D90">
    <w:pPr>
      <w:ind w:left="0" w:hanging="2"/>
      <w:rPr>
        <w:sz w:val="10"/>
        <w:szCs w:val="10"/>
      </w:rPr>
    </w:pPr>
    <w:r>
      <w:rPr>
        <w:noProof/>
      </w:rPr>
      <w:drawing>
        <wp:anchor distT="0" distB="0" distL="0" distR="0" simplePos="0" relativeHeight="251660288" behindDoc="1" locked="0" layoutInCell="1" hidden="0" allowOverlap="1">
          <wp:simplePos x="0" y="0"/>
          <wp:positionH relativeFrom="column">
            <wp:posOffset>4427978</wp:posOffset>
          </wp:positionH>
          <wp:positionV relativeFrom="paragraph">
            <wp:posOffset>4464</wp:posOffset>
          </wp:positionV>
          <wp:extent cx="1196502" cy="549428"/>
          <wp:effectExtent l="0" t="0" r="0" b="0"/>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6502" cy="549428"/>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2825396</wp:posOffset>
          </wp:positionH>
          <wp:positionV relativeFrom="paragraph">
            <wp:posOffset>57167</wp:posOffset>
          </wp:positionV>
          <wp:extent cx="1377109" cy="432231"/>
          <wp:effectExtent l="0" t="0" r="0" b="0"/>
          <wp:wrapNone/>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1377109" cy="432231"/>
                  </a:xfrm>
                  <a:prstGeom prst="rect">
                    <a:avLst/>
                  </a:prstGeom>
                  <a:ln/>
                </pic:spPr>
              </pic:pic>
            </a:graphicData>
          </a:graphic>
        </wp:anchor>
      </w:drawing>
    </w:r>
  </w:p>
  <w:p w:rsidR="00B36585" w:rsidRDefault="00170D90">
    <w:pPr>
      <w:pBdr>
        <w:top w:val="nil"/>
        <w:left w:val="nil"/>
        <w:bottom w:val="nil"/>
        <w:right w:val="nil"/>
        <w:between w:val="nil"/>
      </w:pBd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Ca. Amador Merino Reyna 267 Piso 12 San Isidro - Lima</w:t>
    </w:r>
  </w:p>
  <w:p w:rsidR="00B36585" w:rsidRDefault="00170D90">
    <w:pPr>
      <w:pBdr>
        <w:top w:val="nil"/>
        <w:left w:val="nil"/>
        <w:bottom w:val="nil"/>
        <w:right w:val="nil"/>
        <w:between w:val="nil"/>
      </w:pBdr>
      <w:spacing w:after="0" w:line="240" w:lineRule="auto"/>
      <w:ind w:left="0" w:hanging="2"/>
      <w:rPr>
        <w:rFonts w:ascii="Arial" w:eastAsia="Arial" w:hAnsi="Arial" w:cs="Arial"/>
        <w:color w:val="000000"/>
        <w:sz w:val="16"/>
        <w:szCs w:val="16"/>
      </w:rPr>
    </w:pPr>
    <w:r>
      <w:rPr>
        <w:rFonts w:ascii="Arial" w:eastAsia="Arial" w:hAnsi="Arial" w:cs="Arial"/>
        <w:color w:val="000000"/>
        <w:sz w:val="16"/>
        <w:szCs w:val="16"/>
      </w:rPr>
      <w:t>Av. Carretera a Ventanilla km 5.2 - Callao</w:t>
    </w:r>
    <w:r>
      <w:rPr>
        <w:rFonts w:ascii="Arial" w:eastAsia="Arial" w:hAnsi="Arial" w:cs="Arial"/>
        <w:color w:val="000000"/>
        <w:sz w:val="16"/>
        <w:szCs w:val="16"/>
      </w:rPr>
      <w:br/>
      <w:t>www.gob.pe/sanipes</w:t>
    </w:r>
  </w:p>
  <w:p w:rsidR="00B36585" w:rsidRDefault="00B36585">
    <w:pPr>
      <w:tabs>
        <w:tab w:val="left" w:pos="-284"/>
      </w:tabs>
      <w:spacing w:after="0" w:line="360" w:lineRule="auto"/>
      <w:ind w:right="-568"/>
      <w:jc w:val="both"/>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85" w:rsidRDefault="00B3658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66" w:rsidRDefault="00565866">
      <w:pPr>
        <w:spacing w:after="0" w:line="240" w:lineRule="auto"/>
        <w:ind w:left="0" w:hanging="2"/>
      </w:pPr>
      <w:r>
        <w:separator/>
      </w:r>
    </w:p>
  </w:footnote>
  <w:footnote w:type="continuationSeparator" w:id="0">
    <w:p w:rsidR="00565866" w:rsidRDefault="0056586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85" w:rsidRDefault="00B36585">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85" w:rsidRDefault="00170D90">
    <w:pPr>
      <w:pBdr>
        <w:top w:val="nil"/>
        <w:left w:val="nil"/>
        <w:bottom w:val="nil"/>
        <w:right w:val="nil"/>
        <w:between w:val="nil"/>
      </w:pBdr>
      <w:spacing w:after="0"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-600066</wp:posOffset>
          </wp:positionH>
          <wp:positionV relativeFrom="paragraph">
            <wp:posOffset>11430</wp:posOffset>
          </wp:positionV>
          <wp:extent cx="2171700" cy="441960"/>
          <wp:effectExtent l="0" t="0" r="0" b="0"/>
          <wp:wrapNone/>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71700" cy="4419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4200525</wp:posOffset>
          </wp:positionH>
          <wp:positionV relativeFrom="paragraph">
            <wp:posOffset>30480</wp:posOffset>
          </wp:positionV>
          <wp:extent cx="1592580" cy="527050"/>
          <wp:effectExtent l="0" t="0" r="0" b="0"/>
          <wp:wrapNone/>
          <wp:docPr id="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92580" cy="527050"/>
                  </a:xfrm>
                  <a:prstGeom prst="rect">
                    <a:avLst/>
                  </a:prstGeom>
                  <a:ln/>
                </pic:spPr>
              </pic:pic>
            </a:graphicData>
          </a:graphic>
        </wp:anchor>
      </w:drawing>
    </w:r>
  </w:p>
  <w:p w:rsidR="00B36585" w:rsidRDefault="00B36585">
    <w:pPr>
      <w:pBdr>
        <w:top w:val="nil"/>
        <w:left w:val="nil"/>
        <w:bottom w:val="nil"/>
        <w:right w:val="nil"/>
        <w:between w:val="nil"/>
      </w:pBdr>
      <w:spacing w:after="0" w:line="240" w:lineRule="auto"/>
      <w:ind w:left="0" w:hanging="2"/>
      <w:rPr>
        <w:color w:val="000000"/>
      </w:rPr>
    </w:pPr>
  </w:p>
  <w:p w:rsidR="00B36585" w:rsidRDefault="00B36585">
    <w:pPr>
      <w:pBdr>
        <w:top w:val="nil"/>
        <w:left w:val="nil"/>
        <w:bottom w:val="nil"/>
        <w:right w:val="nil"/>
        <w:between w:val="nil"/>
      </w:pBdr>
      <w:spacing w:after="0" w:line="240" w:lineRule="auto"/>
      <w:ind w:left="0" w:hanging="2"/>
      <w:rPr>
        <w:color w:val="000000"/>
      </w:rPr>
    </w:pPr>
  </w:p>
  <w:p w:rsidR="00B36585" w:rsidRDefault="00B36585">
    <w:pPr>
      <w:pBdr>
        <w:top w:val="nil"/>
        <w:left w:val="nil"/>
        <w:bottom w:val="nil"/>
        <w:right w:val="nil"/>
        <w:between w:val="nil"/>
      </w:pBdr>
      <w:spacing w:after="0" w:line="240" w:lineRule="auto"/>
      <w:ind w:left="0" w:hanging="2"/>
      <w:rPr>
        <w:color w:val="000000"/>
        <w:sz w:val="20"/>
        <w:szCs w:val="20"/>
      </w:rPr>
    </w:pPr>
  </w:p>
  <w:p w:rsidR="00B36585" w:rsidRDefault="00170D90">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“Decenio de la Igualdad de Oportunidades para Mujeres y Hombres”</w:t>
    </w:r>
  </w:p>
  <w:p w:rsidR="00B36585" w:rsidRDefault="00170D90">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r>
      <w:rPr>
        <w:rFonts w:ascii="Arial" w:eastAsia="Arial" w:hAnsi="Arial" w:cs="Arial"/>
        <w:sz w:val="16"/>
        <w:szCs w:val="16"/>
        <w:highlight w:val="white"/>
      </w:rPr>
      <w:t>“Año de la unidad, la paz y el desarrollo”</w:t>
    </w:r>
  </w:p>
  <w:p w:rsidR="00B36585" w:rsidRDefault="00B36585">
    <w:pPr>
      <w:pBdr>
        <w:top w:val="nil"/>
        <w:left w:val="nil"/>
        <w:bottom w:val="nil"/>
        <w:right w:val="nil"/>
        <w:between w:val="nil"/>
      </w:pBdr>
      <w:spacing w:after="0" w:line="240" w:lineRule="auto"/>
      <w:ind w:left="0" w:hanging="2"/>
      <w:jc w:val="center"/>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585" w:rsidRDefault="00B36585">
    <w:pPr>
      <w:pBdr>
        <w:top w:val="nil"/>
        <w:left w:val="nil"/>
        <w:bottom w:val="nil"/>
        <w:right w:val="nil"/>
        <w:between w:val="nil"/>
      </w:pBdr>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85"/>
    <w:rsid w:val="00170D90"/>
    <w:rsid w:val="002A69CA"/>
    <w:rsid w:val="002C7136"/>
    <w:rsid w:val="00565866"/>
    <w:rsid w:val="00877A9C"/>
    <w:rsid w:val="00B36585"/>
    <w:rsid w:val="00C44535"/>
    <w:rsid w:val="00D307A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78D2EC14"/>
  <w15:docId w15:val="{B54BEBF8-53B0-6B41-8F2D-5DE3CFC2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E" w:eastAsia="es-ES_tradn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Encabezado">
    <w:name w:val="header"/>
    <w:basedOn w:val="Normal"/>
    <w:uiPriority w:val="99"/>
    <w:qFormat/>
    <w:pPr>
      <w:spacing w:after="0" w:line="240" w:lineRule="auto"/>
    </w:pPr>
  </w:style>
  <w:style w:type="character" w:customStyle="1" w:styleId="EncabezadoCar">
    <w:name w:val="Encabezado Car"/>
    <w:basedOn w:val="Fuentedeprrafopredeter"/>
    <w:uiPriority w:val="99"/>
    <w:rPr>
      <w:w w:val="100"/>
      <w:position w:val="-1"/>
      <w:effect w:val="none"/>
      <w:vertAlign w:val="baseline"/>
      <w:cs w:val="0"/>
      <w:em w:val="none"/>
    </w:rPr>
  </w:style>
  <w:style w:type="paragraph" w:styleId="Piedepgina">
    <w:name w:val="footer"/>
    <w:basedOn w:val="Normal"/>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styleId="Tablaconcuadrcula">
    <w:name w:val="Table Grid"/>
    <w:basedOn w:val="Tab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customStyle="1" w:styleId="Cuadrculaclara-nfasis31">
    <w:name w:val="Cuadrícula clara - Énfasis 31"/>
    <w:aliases w:val="Titulo de Fígura,TITULO A,Cuadro 2-1,Fundamentacion,Bulleted List,Lista vistosa - Énfasis 11,Párrafo de lista2,Titulo parrafo,Punto,3,Iz - Párrafo de lista,Sivsa Parrafo,Footnote,List Paragraph1,Lista 123,Number List 1"/>
    <w:basedOn w:val="Normal"/>
    <w:pPr>
      <w:ind w:left="720"/>
      <w:contextualSpacing/>
    </w:pPr>
  </w:style>
  <w:style w:type="paragraph" w:styleId="Textoindependiente">
    <w:name w:val="Body Text"/>
    <w:basedOn w:val="Normal"/>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rPr>
      <w:rFonts w:ascii="Arial MT" w:eastAsia="Arial MT" w:hAnsi="Arial MT" w:cs="Arial MT"/>
      <w:w w:val="100"/>
      <w:position w:val="-1"/>
      <w:sz w:val="20"/>
      <w:szCs w:val="20"/>
      <w:effect w:val="none"/>
      <w:vertAlign w:val="baseline"/>
      <w:cs w:val="0"/>
      <w:em w:val="none"/>
      <w:lang w:val="es-ES"/>
    </w:rPr>
  </w:style>
  <w:style w:type="paragraph" w:customStyle="1" w:styleId="Ttulo11">
    <w:name w:val="Título 11"/>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1">
    <w:name w:val="Normal1"/>
    <w:pPr>
      <w:suppressAutoHyphens/>
      <w:ind w:leftChars="-1" w:left="-1" w:hangingChars="1"/>
      <w:textDirection w:val="btLr"/>
      <w:textAlignment w:val="top"/>
      <w:outlineLvl w:val="0"/>
    </w:pPr>
    <w:rPr>
      <w:position w:val="-1"/>
      <w:lang w:eastAsia="es-ES"/>
    </w:rPr>
  </w:style>
  <w:style w:type="paragraph" w:customStyle="1" w:styleId="Ttulo12">
    <w:name w:val="Título 12"/>
    <w:basedOn w:val="Normal"/>
    <w:pPr>
      <w:widowControl w:val="0"/>
      <w:autoSpaceDE w:val="0"/>
      <w:autoSpaceDN w:val="0"/>
      <w:spacing w:after="0" w:line="240" w:lineRule="auto"/>
      <w:outlineLvl w:val="1"/>
    </w:pPr>
    <w:rPr>
      <w:rFonts w:ascii="Arial" w:eastAsia="Arial" w:hAnsi="Arial" w:cs="Arial"/>
      <w:b/>
      <w:bCs/>
      <w:lang w:val="es-ES"/>
    </w:rPr>
  </w:style>
  <w:style w:type="paragraph" w:customStyle="1" w:styleId="Normal2">
    <w:name w:val="Normal2"/>
    <w:pPr>
      <w:suppressAutoHyphens/>
      <w:ind w:leftChars="-1" w:left="-1" w:hangingChars="1"/>
      <w:textDirection w:val="btLr"/>
      <w:textAlignment w:val="top"/>
      <w:outlineLvl w:val="0"/>
    </w:pPr>
    <w:rPr>
      <w:position w:val="-1"/>
      <w:lang w:eastAsia="es-ES"/>
    </w:rPr>
  </w:style>
  <w:style w:type="table" w:customStyle="1" w:styleId="TableNormal8">
    <w:name w:val="Table Normal"/>
    <w:next w:val="TableNormal7"/>
    <w:qFormat/>
    <w:pPr>
      <w:widowControl w:val="0"/>
      <w:suppressAutoHyphens/>
      <w:autoSpaceDE w:val="0"/>
      <w:autoSpaceDN w:val="0"/>
      <w:spacing w:line="1" w:lineRule="atLeast"/>
      <w:ind w:leftChars="-1" w:left="-1" w:hangingChars="1"/>
      <w:textDirection w:val="btLr"/>
      <w:textAlignment w:val="top"/>
      <w:outlineLvl w:val="0"/>
    </w:pPr>
    <w:rPr>
      <w:position w:val="-1"/>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pPr>
      <w:widowControl w:val="0"/>
      <w:autoSpaceDE w:val="0"/>
      <w:autoSpaceDN w:val="0"/>
      <w:spacing w:after="0" w:line="240" w:lineRule="auto"/>
    </w:pPr>
    <w:rPr>
      <w:rFonts w:ascii="Arial MT" w:eastAsia="Arial MT" w:hAnsi="Arial MT" w:cs="Arial MT"/>
      <w:lang w:val="es-ES"/>
    </w:rPr>
  </w:style>
  <w:style w:type="character" w:customStyle="1" w:styleId="Cuadrculaclara-nfasis3Car">
    <w:name w:val="Cuadrícula clara - Énfasis 3 Car"/>
    <w:aliases w:val="Titulo de Fígura Car,TITULO A Car,Cuadro 2-1 Car,Fundamentacion Car,Bulleted List Car,Lista vistosa - Énfasis 11 Car,Párrafo de lista2 Car,Titulo parrafo Car,Punto Car,3 Car,Iz - Párrafo de lista Car,Sivsa Parrafo Car"/>
    <w:rPr>
      <w:w w:val="100"/>
      <w:position w:val="-1"/>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customStyle="1" w:styleId="fontstyle01">
    <w:name w:val="fontstyle01"/>
    <w:rPr>
      <w:rFonts w:ascii="Calibri" w:hAnsi="Calibri" w:hint="default"/>
      <w:color w:val="000000"/>
      <w:w w:val="100"/>
      <w:position w:val="-1"/>
      <w:sz w:val="22"/>
      <w:szCs w:val="22"/>
      <w:effect w:val="none"/>
      <w:vertAlign w:val="baseline"/>
      <w:cs w:val="0"/>
      <w:em w:val="none"/>
    </w:rPr>
  </w:style>
  <w:style w:type="paragraph" w:customStyle="1" w:styleId="Cuadrculamedia2-nfasis11">
    <w:name w:val="Cuadrícula media 2 - Énfasis 11"/>
    <w:pPr>
      <w:suppressAutoHyphens/>
      <w:spacing w:line="1" w:lineRule="atLeast"/>
      <w:ind w:leftChars="-1" w:left="-1" w:hangingChars="1"/>
      <w:textDirection w:val="btLr"/>
      <w:textAlignment w:val="top"/>
      <w:outlineLvl w:val="0"/>
    </w:pPr>
    <w:rPr>
      <w:position w:val="-1"/>
      <w:lang w:eastAsia="en-US"/>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entury Gothic" w:hAnsi="Century Gothic" w:cs="Century Gothic"/>
      <w:color w:val="000000"/>
      <w:position w:val="-1"/>
      <w:sz w:val="24"/>
      <w:szCs w:val="24"/>
      <w:lang w:eastAsia="es-PE"/>
    </w:rPr>
  </w:style>
  <w:style w:type="paragraph" w:customStyle="1" w:styleId="Cuadrculamedia1-nfasis21">
    <w:name w:val="Cuadrícula media 1 - Énfasis 21"/>
    <w:aliases w:val="Bullet 1,titulo"/>
    <w:basedOn w:val="Normal"/>
    <w:pPr>
      <w:spacing w:after="0" w:line="240" w:lineRule="auto"/>
      <w:ind w:left="720"/>
      <w:contextualSpacing/>
    </w:pPr>
    <w:rPr>
      <w:rFonts w:ascii="Times New Roman" w:eastAsia="Times New Roman" w:hAnsi="Times New Roman"/>
      <w:sz w:val="24"/>
      <w:szCs w:val="24"/>
      <w:lang w:val="es-ES" w:eastAsia="es-ES"/>
    </w:rPr>
  </w:style>
  <w:style w:type="paragraph" w:customStyle="1" w:styleId="Cuadrculaclara-nfasis310">
    <w:name w:val="Cuadrícula clara - Énfasis 31"/>
    <w:basedOn w:val="Normal"/>
    <w:pPr>
      <w:ind w:left="720"/>
      <w:contextualSpacing/>
    </w:pPr>
    <w:rPr>
      <w:lang w:eastAsia="ja-JP"/>
    </w:rPr>
  </w:style>
  <w:style w:type="paragraph" w:customStyle="1" w:styleId="Cuadrculamedia21">
    <w:name w:val="Cuadrícula media 2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lang w:val="es-ES" w:eastAsia="es-ES"/>
    </w:rPr>
  </w:style>
  <w:style w:type="character" w:customStyle="1" w:styleId="Cuadrculamedia2Car">
    <w:name w:val="Cuadrícula media 2 Car"/>
    <w:rPr>
      <w:rFonts w:ascii="Times New Roman" w:eastAsia="Times New Roman" w:hAnsi="Times New Roman"/>
      <w:w w:val="100"/>
      <w:position w:val="-1"/>
      <w:sz w:val="24"/>
      <w:szCs w:val="24"/>
      <w:effect w:val="none"/>
      <w:vertAlign w:val="baseline"/>
      <w:cs w:val="0"/>
      <w:em w:val="none"/>
      <w:lang w:val="es-ES"/>
    </w:rPr>
  </w:style>
  <w:style w:type="paragraph" w:customStyle="1" w:styleId="Prrafodelista1">
    <w:name w:val="Párrafo de lista1"/>
    <w:aliases w:val="Colorful List Accent 1,Ha,SUBTITU MEMO,Viñeta normal,Tipo2,List Paragraph-Thesis,paul2"/>
    <w:basedOn w:val="Normal"/>
    <w:pPr>
      <w:spacing w:after="0" w:line="240" w:lineRule="auto"/>
      <w:ind w:left="720"/>
      <w:contextualSpacing/>
    </w:pPr>
    <w:rPr>
      <w:rFonts w:ascii="Times New Roman" w:hAnsi="Times New Roman"/>
      <w:sz w:val="24"/>
      <w:szCs w:val="24"/>
      <w:lang w:val="es-ES" w:eastAsia="es-ES"/>
    </w:r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markzzkuas3gt">
    <w:name w:val="markzzkuas3gt"/>
    <w:rPr>
      <w:w w:val="100"/>
      <w:position w:val="-1"/>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1"/>
    <w:qFormat/>
    <w:rsid w:val="00174B23"/>
    <w:pPr>
      <w:ind w:left="720"/>
      <w:contextualSpacing/>
    </w:pPr>
  </w:style>
  <w:style w:type="paragraph" w:styleId="Sinespaciado">
    <w:name w:val="No Spacing"/>
    <w:uiPriority w:val="1"/>
    <w:qFormat/>
    <w:rsid w:val="00691135"/>
    <w:pPr>
      <w:suppressAutoHyphens/>
      <w:spacing w:after="0" w:line="240" w:lineRule="auto"/>
      <w:ind w:leftChars="-1" w:left="-1" w:hangingChars="1"/>
      <w:textDirection w:val="btLr"/>
      <w:textAlignment w:val="top"/>
      <w:outlineLvl w:val="0"/>
    </w:pPr>
    <w:rPr>
      <w:position w:val="-1"/>
      <w:lang w:eastAsia="en-US"/>
    </w:rPr>
  </w:style>
  <w:style w:type="paragraph" w:customStyle="1" w:styleId="western">
    <w:name w:val="western"/>
    <w:basedOn w:val="Normal"/>
    <w:rsid w:val="00272DF4"/>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es-PE"/>
    </w:rPr>
  </w:style>
  <w:style w:type="character" w:customStyle="1" w:styleId="normaltextrun">
    <w:name w:val="normaltextrun"/>
    <w:basedOn w:val="Fuentedeprrafopredeter"/>
    <w:rsid w:val="0019129E"/>
  </w:style>
  <w:style w:type="character" w:customStyle="1" w:styleId="eop">
    <w:name w:val="eop"/>
    <w:basedOn w:val="Fuentedeprrafopredeter"/>
    <w:rsid w:val="0019129E"/>
  </w:style>
  <w:style w:type="character" w:styleId="nfasis">
    <w:name w:val="Emphasis"/>
    <w:basedOn w:val="Fuentedeprrafopredeter"/>
    <w:uiPriority w:val="20"/>
    <w:qFormat/>
    <w:rsid w:val="00F7049E"/>
    <w:rPr>
      <w:i/>
      <w:iCs/>
    </w:rPr>
  </w:style>
  <w:style w:type="character" w:styleId="Textoennegrita">
    <w:name w:val="Strong"/>
    <w:basedOn w:val="Fuentedeprrafopredeter"/>
    <w:uiPriority w:val="22"/>
    <w:qFormat/>
    <w:rsid w:val="000D7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ZoKSCHRJLI92ZaMhwUk8RDST7ag==">AMUW2mXbXKAgaNdgIWCO8d2ZNxL46eJYThzcaAZdcsHnDR/dL7tJh6eU5SKGp+am/D9HCrCVcwq6+YJT8P44b6gOO13d8kb5w9DjMFcIfesmbynWdpZpDp+bSQHA4OR5rOg++nrrtgHM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434</Words>
  <Characters>2391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Usuario de Microsoft Office</cp:lastModifiedBy>
  <cp:revision>17</cp:revision>
  <dcterms:created xsi:type="dcterms:W3CDTF">2022-04-28T20:36:00Z</dcterms:created>
  <dcterms:modified xsi:type="dcterms:W3CDTF">2023-02-22T22:07:00Z</dcterms:modified>
</cp:coreProperties>
</file>