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A6" w:rsidRPr="00367DA6" w:rsidRDefault="00367DA6" w:rsidP="00367DA6">
      <w:pPr>
        <w:jc w:val="center"/>
        <w:rPr>
          <w:rFonts w:ascii="Arial" w:hAnsi="Arial" w:cs="Arial"/>
          <w:b/>
          <w:sz w:val="24"/>
          <w:szCs w:val="24"/>
          <w:u w:val="single"/>
          <w:lang w:val="es-MX"/>
        </w:rPr>
      </w:pPr>
      <w:r w:rsidRPr="00367DA6">
        <w:rPr>
          <w:rFonts w:ascii="Arial" w:hAnsi="Arial" w:cs="Arial"/>
          <w:b/>
          <w:sz w:val="24"/>
          <w:szCs w:val="24"/>
          <w:u w:val="single"/>
          <w:lang w:val="es-MX"/>
        </w:rPr>
        <w:t>NOTA DE PRENSA</w:t>
      </w:r>
    </w:p>
    <w:p w:rsidR="00367DA6" w:rsidRPr="00ED5B79" w:rsidRDefault="00367DA6" w:rsidP="00367DA6">
      <w:pPr>
        <w:jc w:val="center"/>
        <w:rPr>
          <w:rFonts w:ascii="Arial" w:hAnsi="Arial" w:cs="Arial"/>
          <w:b/>
          <w:sz w:val="32"/>
          <w:szCs w:val="32"/>
          <w:lang w:val="es-MX"/>
        </w:rPr>
      </w:pPr>
      <w:bookmarkStart w:id="0" w:name="_GoBack"/>
      <w:r w:rsidRPr="00ED5B79">
        <w:rPr>
          <w:rFonts w:ascii="Arial" w:hAnsi="Arial" w:cs="Arial"/>
          <w:b/>
          <w:sz w:val="32"/>
          <w:szCs w:val="32"/>
          <w:lang w:val="es-MX"/>
        </w:rPr>
        <w:t>Produce dona más de cinco toneladas de recursos hidrobiológicos incautados</w:t>
      </w:r>
    </w:p>
    <w:bookmarkEnd w:id="0"/>
    <w:p w:rsidR="00367DA6" w:rsidRPr="00367DA6" w:rsidRDefault="00367DA6" w:rsidP="00367DA6">
      <w:pPr>
        <w:pStyle w:val="Prrafodelista"/>
        <w:numPr>
          <w:ilvl w:val="0"/>
          <w:numId w:val="10"/>
        </w:numPr>
        <w:jc w:val="both"/>
        <w:rPr>
          <w:rFonts w:ascii="Arial" w:hAnsi="Arial" w:cs="Arial"/>
          <w:sz w:val="28"/>
          <w:szCs w:val="28"/>
          <w:lang w:val="es-MX"/>
        </w:rPr>
      </w:pPr>
      <w:r w:rsidRPr="00367DA6">
        <w:rPr>
          <w:rFonts w:ascii="Arial" w:hAnsi="Arial" w:cs="Arial"/>
          <w:sz w:val="28"/>
          <w:szCs w:val="28"/>
          <w:lang w:val="es-MX"/>
        </w:rPr>
        <w:t>Las intervenciones a la pesca ilegal se realizaron en Arequipa, Chimbote, Trujillo, Chiclayo y Piura.</w:t>
      </w:r>
    </w:p>
    <w:p w:rsidR="00367DA6" w:rsidRPr="00367DA6" w:rsidRDefault="00367DA6" w:rsidP="00367DA6">
      <w:pPr>
        <w:jc w:val="both"/>
        <w:rPr>
          <w:rFonts w:ascii="Arial" w:hAnsi="Arial" w:cs="Arial"/>
          <w:sz w:val="28"/>
          <w:szCs w:val="28"/>
          <w:lang w:val="es-MX"/>
        </w:rPr>
      </w:pPr>
      <w:r w:rsidRPr="00367DA6">
        <w:rPr>
          <w:rFonts w:ascii="Arial" w:hAnsi="Arial" w:cs="Arial"/>
          <w:sz w:val="28"/>
          <w:szCs w:val="28"/>
          <w:lang w:val="es-MX"/>
        </w:rPr>
        <w:t xml:space="preserve">El Ministerio de la Producción (Produce), a través de la Dirección General de Supervisión, Fiscalización y Sanción (DGSFS-PA), realizó la donación y devolución de más de 5776 kilos de recursos hidrobiológicos a los pobladores de escasos recursos económicos y al medio natural, respectivamente, a través de las municipalidades distritales y entidades benéficas. </w:t>
      </w:r>
    </w:p>
    <w:p w:rsidR="00367DA6" w:rsidRPr="00367DA6" w:rsidRDefault="00367DA6" w:rsidP="00367DA6">
      <w:pPr>
        <w:jc w:val="both"/>
        <w:rPr>
          <w:rFonts w:ascii="Arial" w:hAnsi="Arial" w:cs="Arial"/>
          <w:sz w:val="28"/>
          <w:szCs w:val="28"/>
          <w:lang w:val="es-MX"/>
        </w:rPr>
      </w:pPr>
      <w:r w:rsidRPr="00367DA6">
        <w:rPr>
          <w:rFonts w:ascii="Arial" w:hAnsi="Arial" w:cs="Arial"/>
          <w:sz w:val="28"/>
          <w:szCs w:val="28"/>
          <w:lang w:val="es-MX"/>
        </w:rPr>
        <w:t>Este conjunto de acciones se realizó en su mayoría en las regiones de Arequipa, Chimbote, Trujillo, Chiclayo y Piura. Solo en esta última, Produce incautó más de 37 500 kilos de residuos de recursos hidrobiológicos en proceso de secado en un predio de forma ilegal, provenientes de las actividades pesqueras y del procesamiento de harina de pescado.</w:t>
      </w:r>
    </w:p>
    <w:p w:rsidR="00367DA6" w:rsidRPr="00367DA6" w:rsidRDefault="00367DA6" w:rsidP="00367DA6">
      <w:pPr>
        <w:jc w:val="both"/>
        <w:rPr>
          <w:rFonts w:ascii="Arial" w:hAnsi="Arial" w:cs="Arial"/>
          <w:sz w:val="28"/>
          <w:szCs w:val="28"/>
          <w:lang w:val="es-MX"/>
        </w:rPr>
      </w:pPr>
      <w:r w:rsidRPr="00367DA6">
        <w:rPr>
          <w:rFonts w:ascii="Arial" w:hAnsi="Arial" w:cs="Arial"/>
          <w:sz w:val="28"/>
          <w:szCs w:val="28"/>
          <w:lang w:val="es-MX"/>
        </w:rPr>
        <w:t xml:space="preserve">Los recursos fueron entregados a los centros poblados de Paredones y La Piedra del distrito de </w:t>
      </w:r>
      <w:proofErr w:type="spellStart"/>
      <w:r w:rsidRPr="00367DA6">
        <w:rPr>
          <w:rFonts w:ascii="Arial" w:hAnsi="Arial" w:cs="Arial"/>
          <w:sz w:val="28"/>
          <w:szCs w:val="28"/>
          <w:lang w:val="es-MX"/>
        </w:rPr>
        <w:t>Catacaos</w:t>
      </w:r>
      <w:proofErr w:type="spellEnd"/>
      <w:r w:rsidRPr="00367DA6">
        <w:rPr>
          <w:rFonts w:ascii="Arial" w:hAnsi="Arial" w:cs="Arial"/>
          <w:sz w:val="28"/>
          <w:szCs w:val="28"/>
          <w:lang w:val="es-MX"/>
        </w:rPr>
        <w:t>, así como al Programa de Apoyo Social del Gobierno Regional de Piura; al Hogar de San José, Hermanitas de los Ancianos Desamparados y a la Casa Hogar la Divina Providencia de Trujillo.</w:t>
      </w:r>
    </w:p>
    <w:p w:rsidR="00367DA6" w:rsidRPr="00367DA6" w:rsidRDefault="00367DA6" w:rsidP="00367DA6">
      <w:pPr>
        <w:jc w:val="both"/>
        <w:rPr>
          <w:rFonts w:ascii="Arial" w:hAnsi="Arial" w:cs="Arial"/>
          <w:sz w:val="28"/>
          <w:szCs w:val="28"/>
          <w:lang w:val="es-MX"/>
        </w:rPr>
      </w:pPr>
      <w:r w:rsidRPr="00367DA6">
        <w:rPr>
          <w:rFonts w:ascii="Arial" w:hAnsi="Arial" w:cs="Arial"/>
          <w:sz w:val="28"/>
          <w:szCs w:val="28"/>
          <w:lang w:val="es-MX"/>
        </w:rPr>
        <w:t>Así también a la municipalidad distrital de Santa Rosa (Lambayeque), el comedor popular Almirante Miguel Grau y a la Municipalidad Distrital de Majes para ser entregados a los comedores del Porvenir – Arequipa. De igual manera, se le dio al albergue Virgen de la Puerta de Chimbote.</w:t>
      </w:r>
    </w:p>
    <w:p w:rsidR="00367DA6" w:rsidRPr="00367DA6" w:rsidRDefault="00367DA6" w:rsidP="00367DA6">
      <w:pPr>
        <w:jc w:val="both"/>
        <w:rPr>
          <w:rFonts w:ascii="Arial" w:hAnsi="Arial" w:cs="Arial"/>
          <w:b/>
          <w:sz w:val="28"/>
          <w:szCs w:val="28"/>
          <w:lang w:val="es-MX"/>
        </w:rPr>
      </w:pPr>
      <w:r w:rsidRPr="00367DA6">
        <w:rPr>
          <w:rFonts w:ascii="Arial" w:hAnsi="Arial" w:cs="Arial"/>
          <w:b/>
          <w:sz w:val="28"/>
          <w:szCs w:val="28"/>
          <w:lang w:val="es-MX"/>
        </w:rPr>
        <w:t>Infracciones cometidas</w:t>
      </w:r>
    </w:p>
    <w:p w:rsidR="00367DA6" w:rsidRPr="00367DA6" w:rsidRDefault="00367DA6" w:rsidP="00367DA6">
      <w:pPr>
        <w:jc w:val="both"/>
        <w:rPr>
          <w:rFonts w:ascii="Arial" w:hAnsi="Arial" w:cs="Arial"/>
          <w:sz w:val="28"/>
          <w:szCs w:val="28"/>
          <w:lang w:val="es-MX"/>
        </w:rPr>
      </w:pPr>
      <w:r w:rsidRPr="00367DA6">
        <w:rPr>
          <w:rFonts w:ascii="Arial" w:hAnsi="Arial" w:cs="Arial"/>
          <w:sz w:val="28"/>
          <w:szCs w:val="28"/>
          <w:lang w:val="es-MX"/>
        </w:rPr>
        <w:t xml:space="preserve">Almacenar recursos en tallas menores, no contar con permiso de pesca, licencia de operaciones ni con equipo satelital, así como comercializar especies marinas en temporada de veda, son las infracciones más comunes. En esta oportunidad, entre los recursos donados resaltan el tiburón martillo, lisa, bonito y camarón de río. </w:t>
      </w:r>
    </w:p>
    <w:p w:rsidR="00367DA6" w:rsidRPr="00367DA6" w:rsidRDefault="00367DA6" w:rsidP="00367DA6">
      <w:pPr>
        <w:jc w:val="both"/>
        <w:rPr>
          <w:rFonts w:ascii="Arial" w:hAnsi="Arial" w:cs="Arial"/>
          <w:sz w:val="28"/>
          <w:szCs w:val="28"/>
          <w:lang w:val="es-MX"/>
        </w:rPr>
      </w:pPr>
      <w:r w:rsidRPr="00367DA6">
        <w:rPr>
          <w:rFonts w:ascii="Arial" w:hAnsi="Arial" w:cs="Arial"/>
          <w:sz w:val="28"/>
          <w:szCs w:val="28"/>
          <w:lang w:val="es-MX"/>
        </w:rPr>
        <w:t xml:space="preserve">Es preciso indicar que dichas acciones de fiscalización son fortalecidas en la mayoría de los casos con la participación del personal de la Dirección General de Capitanías y Guardacostas </w:t>
      </w:r>
      <w:r w:rsidRPr="00367DA6">
        <w:rPr>
          <w:rFonts w:ascii="Arial" w:hAnsi="Arial" w:cs="Arial"/>
          <w:sz w:val="28"/>
          <w:szCs w:val="28"/>
          <w:lang w:val="es-MX"/>
        </w:rPr>
        <w:lastRenderedPageBreak/>
        <w:t>(DICAPI), Policía, Fiscalía Especializada en Medio Ambiente (FEMA), Aduanas, SERNANP, gobiernos regionales y municipalidades.</w:t>
      </w:r>
    </w:p>
    <w:p w:rsidR="0032182F" w:rsidRPr="00367DA6" w:rsidRDefault="00367DA6" w:rsidP="00367DA6">
      <w:pPr>
        <w:jc w:val="right"/>
      </w:pPr>
      <w:r w:rsidRPr="00367DA6">
        <w:rPr>
          <w:rFonts w:ascii="Arial" w:hAnsi="Arial" w:cs="Arial"/>
          <w:b/>
          <w:sz w:val="28"/>
          <w:szCs w:val="28"/>
          <w:lang w:val="es-MX"/>
        </w:rPr>
        <w:t>Lima, de febrero de 2023</w:t>
      </w:r>
    </w:p>
    <w:sectPr w:rsidR="0032182F" w:rsidRPr="00367DA6" w:rsidSect="00F3135F">
      <w:headerReference w:type="default" r:id="rId7"/>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9A9" w:rsidRDefault="004309A9" w:rsidP="00056734">
      <w:pPr>
        <w:spacing w:after="0" w:line="240" w:lineRule="auto"/>
      </w:pPr>
      <w:r>
        <w:separator/>
      </w:r>
    </w:p>
  </w:endnote>
  <w:endnote w:type="continuationSeparator" w:id="0">
    <w:p w:rsidR="004309A9" w:rsidRDefault="004309A9" w:rsidP="0005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9A9" w:rsidRDefault="004309A9" w:rsidP="00056734">
      <w:pPr>
        <w:spacing w:after="0" w:line="240" w:lineRule="auto"/>
      </w:pPr>
      <w:r>
        <w:separator/>
      </w:r>
    </w:p>
  </w:footnote>
  <w:footnote w:type="continuationSeparator" w:id="0">
    <w:p w:rsidR="004309A9" w:rsidRDefault="004309A9" w:rsidP="00056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734" w:rsidRDefault="00056734">
    <w:pPr>
      <w:pStyle w:val="Encabezado"/>
    </w:pPr>
    <w:r w:rsidRPr="0020551F">
      <w:rPr>
        <w:noProof/>
        <w:lang w:eastAsia="es-PE"/>
      </w:rPr>
      <w:drawing>
        <wp:anchor distT="0" distB="0" distL="114300" distR="114300" simplePos="0" relativeHeight="251659264" behindDoc="0" locked="0" layoutInCell="1" allowOverlap="1" wp14:anchorId="65D1D869" wp14:editId="3E6824FD">
          <wp:simplePos x="0" y="0"/>
          <wp:positionH relativeFrom="column">
            <wp:posOffset>-612250</wp:posOffset>
          </wp:positionH>
          <wp:positionV relativeFrom="paragraph">
            <wp:posOffset>-127856</wp:posOffset>
          </wp:positionV>
          <wp:extent cx="2196465" cy="5715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sterio-de-la-produccio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6465" cy="571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1242"/>
    <w:multiLevelType w:val="hybridMultilevel"/>
    <w:tmpl w:val="4F34D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8536370"/>
    <w:multiLevelType w:val="hybridMultilevel"/>
    <w:tmpl w:val="3446EBB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A3036BC"/>
    <w:multiLevelType w:val="hybridMultilevel"/>
    <w:tmpl w:val="EE442A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B080770"/>
    <w:multiLevelType w:val="hybridMultilevel"/>
    <w:tmpl w:val="29703A9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7A15504"/>
    <w:multiLevelType w:val="hybridMultilevel"/>
    <w:tmpl w:val="621AE196"/>
    <w:lvl w:ilvl="0" w:tplc="5FDE25CC">
      <w:start w:val="1"/>
      <w:numFmt w:val="bullet"/>
      <w:lvlText w:val=""/>
      <w:lvlJc w:val="left"/>
      <w:pPr>
        <w:ind w:left="720" w:hanging="360"/>
      </w:pPr>
      <w:rPr>
        <w:rFonts w:ascii="Symbol" w:hAnsi="Symbol" w:hint="default"/>
        <w:sz w:val="22"/>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7104487"/>
    <w:multiLevelType w:val="hybridMultilevel"/>
    <w:tmpl w:val="EE3CF1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E900BD9"/>
    <w:multiLevelType w:val="multilevel"/>
    <w:tmpl w:val="77A432DA"/>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ascii="Cambria" w:hAnsi="Cambria" w:hint="default"/>
        <w:sz w:val="22"/>
      </w:rPr>
    </w:lvl>
    <w:lvl w:ilvl="2">
      <w:start w:val="1"/>
      <w:numFmt w:val="decimal"/>
      <w:isLgl/>
      <w:lvlText w:val="%1.%2.%3."/>
      <w:lvlJc w:val="left"/>
      <w:pPr>
        <w:ind w:left="720" w:hanging="720"/>
      </w:pPr>
      <w:rPr>
        <w:rFonts w:ascii="Cambria" w:hAnsi="Cambria" w:hint="default"/>
        <w:sz w:val="22"/>
      </w:rPr>
    </w:lvl>
    <w:lvl w:ilvl="3">
      <w:start w:val="1"/>
      <w:numFmt w:val="decimal"/>
      <w:isLgl/>
      <w:lvlText w:val="%1.%2.%3.%4."/>
      <w:lvlJc w:val="left"/>
      <w:pPr>
        <w:ind w:left="720" w:hanging="720"/>
      </w:pPr>
      <w:rPr>
        <w:rFonts w:ascii="Cambria" w:hAnsi="Cambria" w:hint="default"/>
        <w:sz w:val="22"/>
      </w:rPr>
    </w:lvl>
    <w:lvl w:ilvl="4">
      <w:start w:val="1"/>
      <w:numFmt w:val="decimal"/>
      <w:isLgl/>
      <w:lvlText w:val="%1.%2.%3.%4.%5."/>
      <w:lvlJc w:val="left"/>
      <w:pPr>
        <w:ind w:left="1080" w:hanging="1080"/>
      </w:pPr>
      <w:rPr>
        <w:rFonts w:ascii="Cambria" w:hAnsi="Cambria" w:hint="default"/>
        <w:sz w:val="22"/>
      </w:rPr>
    </w:lvl>
    <w:lvl w:ilvl="5">
      <w:start w:val="1"/>
      <w:numFmt w:val="decimal"/>
      <w:isLgl/>
      <w:lvlText w:val="%1.%2.%3.%4.%5.%6."/>
      <w:lvlJc w:val="left"/>
      <w:pPr>
        <w:ind w:left="1080" w:hanging="1080"/>
      </w:pPr>
      <w:rPr>
        <w:rFonts w:ascii="Cambria" w:hAnsi="Cambria" w:hint="default"/>
        <w:sz w:val="22"/>
      </w:rPr>
    </w:lvl>
    <w:lvl w:ilvl="6">
      <w:start w:val="1"/>
      <w:numFmt w:val="decimal"/>
      <w:isLgl/>
      <w:lvlText w:val="%1.%2.%3.%4.%5.%6.%7."/>
      <w:lvlJc w:val="left"/>
      <w:pPr>
        <w:ind w:left="1080" w:hanging="1080"/>
      </w:pPr>
      <w:rPr>
        <w:rFonts w:ascii="Cambria" w:hAnsi="Cambria" w:hint="default"/>
        <w:sz w:val="22"/>
      </w:rPr>
    </w:lvl>
    <w:lvl w:ilvl="7">
      <w:start w:val="1"/>
      <w:numFmt w:val="decimal"/>
      <w:isLgl/>
      <w:lvlText w:val="%1.%2.%3.%4.%5.%6.%7.%8."/>
      <w:lvlJc w:val="left"/>
      <w:pPr>
        <w:ind w:left="1440" w:hanging="1440"/>
      </w:pPr>
      <w:rPr>
        <w:rFonts w:ascii="Cambria" w:hAnsi="Cambria" w:hint="default"/>
        <w:sz w:val="22"/>
      </w:rPr>
    </w:lvl>
    <w:lvl w:ilvl="8">
      <w:start w:val="1"/>
      <w:numFmt w:val="decimal"/>
      <w:isLgl/>
      <w:lvlText w:val="%1.%2.%3.%4.%5.%6.%7.%8.%9."/>
      <w:lvlJc w:val="left"/>
      <w:pPr>
        <w:ind w:left="1440" w:hanging="1440"/>
      </w:pPr>
      <w:rPr>
        <w:rFonts w:ascii="Cambria" w:hAnsi="Cambria" w:hint="default"/>
        <w:sz w:val="22"/>
      </w:rPr>
    </w:lvl>
  </w:abstractNum>
  <w:abstractNum w:abstractNumId="7" w15:restartNumberingAfterBreak="0">
    <w:nsid w:val="6CBB0FB9"/>
    <w:multiLevelType w:val="hybridMultilevel"/>
    <w:tmpl w:val="F3386FD4"/>
    <w:lvl w:ilvl="0" w:tplc="280A0001">
      <w:start w:val="1"/>
      <w:numFmt w:val="bullet"/>
      <w:lvlText w:val=""/>
      <w:lvlJc w:val="left"/>
      <w:pPr>
        <w:ind w:left="720" w:hanging="360"/>
      </w:pPr>
      <w:rPr>
        <w:rFonts w:ascii="Symbol" w:hAnsi="Symbol" w:hint="default"/>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DB8765F"/>
    <w:multiLevelType w:val="hybridMultilevel"/>
    <w:tmpl w:val="FB50C1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7FA53C5D"/>
    <w:multiLevelType w:val="hybridMultilevel"/>
    <w:tmpl w:val="DBBC7F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7"/>
  </w:num>
  <w:num w:numId="7">
    <w:abstractNumId w:val="9"/>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87"/>
    <w:rsid w:val="00015C3E"/>
    <w:rsid w:val="00056734"/>
    <w:rsid w:val="00095A2B"/>
    <w:rsid w:val="000B7A80"/>
    <w:rsid w:val="000D0E45"/>
    <w:rsid w:val="000E15C4"/>
    <w:rsid w:val="001C7D2B"/>
    <w:rsid w:val="001E33F7"/>
    <w:rsid w:val="002404C9"/>
    <w:rsid w:val="00253D4D"/>
    <w:rsid w:val="00273109"/>
    <w:rsid w:val="002D0CA5"/>
    <w:rsid w:val="0032182F"/>
    <w:rsid w:val="003326D4"/>
    <w:rsid w:val="003476CF"/>
    <w:rsid w:val="00367D76"/>
    <w:rsid w:val="00367DA6"/>
    <w:rsid w:val="00426244"/>
    <w:rsid w:val="00426ABF"/>
    <w:rsid w:val="004309A9"/>
    <w:rsid w:val="004318F3"/>
    <w:rsid w:val="00454653"/>
    <w:rsid w:val="004676CC"/>
    <w:rsid w:val="00496665"/>
    <w:rsid w:val="004B252E"/>
    <w:rsid w:val="004B52C0"/>
    <w:rsid w:val="004C50C4"/>
    <w:rsid w:val="00515BB7"/>
    <w:rsid w:val="00522E2D"/>
    <w:rsid w:val="00555FE9"/>
    <w:rsid w:val="00630EE8"/>
    <w:rsid w:val="006650FD"/>
    <w:rsid w:val="006C2823"/>
    <w:rsid w:val="006D1433"/>
    <w:rsid w:val="00726061"/>
    <w:rsid w:val="00797058"/>
    <w:rsid w:val="007C3187"/>
    <w:rsid w:val="007C50FA"/>
    <w:rsid w:val="008C583A"/>
    <w:rsid w:val="008F635C"/>
    <w:rsid w:val="0092736F"/>
    <w:rsid w:val="00943FD3"/>
    <w:rsid w:val="009F1D31"/>
    <w:rsid w:val="00A9647D"/>
    <w:rsid w:val="00AC79E3"/>
    <w:rsid w:val="00B32033"/>
    <w:rsid w:val="00B51D46"/>
    <w:rsid w:val="00B80B57"/>
    <w:rsid w:val="00BD73EE"/>
    <w:rsid w:val="00BE4A05"/>
    <w:rsid w:val="00CB2657"/>
    <w:rsid w:val="00D1712F"/>
    <w:rsid w:val="00D45B52"/>
    <w:rsid w:val="00DA0185"/>
    <w:rsid w:val="00DC395F"/>
    <w:rsid w:val="00DC4040"/>
    <w:rsid w:val="00E25DF9"/>
    <w:rsid w:val="00E450FE"/>
    <w:rsid w:val="00E929D8"/>
    <w:rsid w:val="00E92FBC"/>
    <w:rsid w:val="00EA5FD5"/>
    <w:rsid w:val="00EB4F4D"/>
    <w:rsid w:val="00ED5B79"/>
    <w:rsid w:val="00EF0945"/>
    <w:rsid w:val="00F24E24"/>
    <w:rsid w:val="00F3135F"/>
    <w:rsid w:val="00F378D9"/>
    <w:rsid w:val="00FD04CC"/>
    <w:rsid w:val="00FD79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03508-DABD-4C0C-A6B5-8ACB24F8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56734"/>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67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6734"/>
  </w:style>
  <w:style w:type="paragraph" w:styleId="Piedepgina">
    <w:name w:val="footer"/>
    <w:basedOn w:val="Normal"/>
    <w:link w:val="PiedepginaCar"/>
    <w:uiPriority w:val="99"/>
    <w:unhideWhenUsed/>
    <w:rsid w:val="000567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6734"/>
  </w:style>
  <w:style w:type="character" w:customStyle="1" w:styleId="Ttulo2Car">
    <w:name w:val="Título 2 Car"/>
    <w:basedOn w:val="Fuentedeprrafopredeter"/>
    <w:link w:val="Ttulo2"/>
    <w:uiPriority w:val="9"/>
    <w:rsid w:val="00056734"/>
    <w:rPr>
      <w:rFonts w:ascii="Times New Roman" w:eastAsia="Times New Roman" w:hAnsi="Times New Roman" w:cs="Times New Roman"/>
      <w:b/>
      <w:bCs/>
      <w:sz w:val="36"/>
      <w:szCs w:val="36"/>
      <w:lang w:eastAsia="es-PE"/>
    </w:rPr>
  </w:style>
  <w:style w:type="paragraph" w:customStyle="1" w:styleId="cuerpo">
    <w:name w:val="cuerpo"/>
    <w:basedOn w:val="Normal"/>
    <w:rsid w:val="0005673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1">
    <w:name w:val="no-style-override-1"/>
    <w:basedOn w:val="Fuentedeprrafopredeter"/>
    <w:rsid w:val="00056734"/>
  </w:style>
  <w:style w:type="paragraph" w:styleId="Prrafodelista">
    <w:name w:val="List Paragraph"/>
    <w:aliases w:val="List Paragraph-Thesis,Fundamentacion,Number List 1,N°,ESTILO2,TITULO A,Lista 123,Cita Pie de Página,Lista sin Numerar,Cuadro 2-1,Footnote,List Paragraph1,SUBTITU MEMO,Dot pt,No Spacing1,List Paragraph Char Char Char,Indicator Text,Ha,3"/>
    <w:basedOn w:val="Normal"/>
    <w:link w:val="PrrafodelistaCar"/>
    <w:uiPriority w:val="34"/>
    <w:qFormat/>
    <w:rsid w:val="002404C9"/>
    <w:pPr>
      <w:ind w:left="720"/>
      <w:contextualSpacing/>
    </w:pPr>
  </w:style>
  <w:style w:type="character" w:styleId="Hipervnculo">
    <w:name w:val="Hyperlink"/>
    <w:basedOn w:val="Fuentedeprrafopredeter"/>
    <w:uiPriority w:val="99"/>
    <w:unhideWhenUsed/>
    <w:rsid w:val="00F378D9"/>
    <w:rPr>
      <w:color w:val="0563C1" w:themeColor="hyperlink"/>
      <w:u w:val="single"/>
    </w:rPr>
  </w:style>
  <w:style w:type="paragraph" w:styleId="Sinespaciado">
    <w:name w:val="No Spacing"/>
    <w:uiPriority w:val="1"/>
    <w:qFormat/>
    <w:rsid w:val="00BD73EE"/>
    <w:pPr>
      <w:spacing w:after="0" w:line="240" w:lineRule="auto"/>
    </w:pPr>
  </w:style>
  <w:style w:type="character" w:customStyle="1" w:styleId="PrrafodelistaCar">
    <w:name w:val="Párrafo de lista Car"/>
    <w:aliases w:val="List Paragraph-Thesis Car,Fundamentacion Car,Number List 1 Car,N° Car,ESTILO2 Car,TITULO A Car,Lista 123 Car,Cita Pie de Página Car,Lista sin Numerar Car,Cuadro 2-1 Car,Footnote Car,List Paragraph1 Car,SUBTITU MEMO Car,Dot pt Car"/>
    <w:link w:val="Prrafodelista"/>
    <w:uiPriority w:val="34"/>
    <w:qFormat/>
    <w:locked/>
    <w:rsid w:val="0032182F"/>
  </w:style>
  <w:style w:type="paragraph" w:styleId="NormalWeb">
    <w:name w:val="Normal (Web)"/>
    <w:basedOn w:val="Normal"/>
    <w:uiPriority w:val="99"/>
    <w:unhideWhenUsed/>
    <w:rsid w:val="0079705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37615">
      <w:bodyDiv w:val="1"/>
      <w:marLeft w:val="0"/>
      <w:marRight w:val="0"/>
      <w:marTop w:val="0"/>
      <w:marBottom w:val="0"/>
      <w:divBdr>
        <w:top w:val="none" w:sz="0" w:space="0" w:color="auto"/>
        <w:left w:val="none" w:sz="0" w:space="0" w:color="auto"/>
        <w:bottom w:val="none" w:sz="0" w:space="0" w:color="auto"/>
        <w:right w:val="none" w:sz="0" w:space="0" w:color="auto"/>
      </w:divBdr>
    </w:div>
    <w:div w:id="581377301">
      <w:bodyDiv w:val="1"/>
      <w:marLeft w:val="0"/>
      <w:marRight w:val="0"/>
      <w:marTop w:val="0"/>
      <w:marBottom w:val="0"/>
      <w:divBdr>
        <w:top w:val="none" w:sz="0" w:space="0" w:color="auto"/>
        <w:left w:val="none" w:sz="0" w:space="0" w:color="auto"/>
        <w:bottom w:val="none" w:sz="0" w:space="0" w:color="auto"/>
        <w:right w:val="none" w:sz="0" w:space="0" w:color="auto"/>
      </w:divBdr>
    </w:div>
    <w:div w:id="1174495695">
      <w:bodyDiv w:val="1"/>
      <w:marLeft w:val="0"/>
      <w:marRight w:val="0"/>
      <w:marTop w:val="0"/>
      <w:marBottom w:val="0"/>
      <w:divBdr>
        <w:top w:val="none" w:sz="0" w:space="0" w:color="auto"/>
        <w:left w:val="none" w:sz="0" w:space="0" w:color="auto"/>
        <w:bottom w:val="none" w:sz="0" w:space="0" w:color="auto"/>
        <w:right w:val="none" w:sz="0" w:space="0" w:color="auto"/>
      </w:divBdr>
      <w:divsChild>
        <w:div w:id="1451630096">
          <w:marLeft w:val="0"/>
          <w:marRight w:val="0"/>
          <w:marTop w:val="0"/>
          <w:marBottom w:val="0"/>
          <w:divBdr>
            <w:top w:val="single" w:sz="2" w:space="0" w:color="E5E5E5"/>
            <w:left w:val="single" w:sz="2" w:space="0" w:color="E5E5E5"/>
            <w:bottom w:val="single" w:sz="2" w:space="0" w:color="E5E5E5"/>
            <w:right w:val="single" w:sz="2" w:space="0" w:color="E5E5E5"/>
          </w:divBdr>
        </w:div>
        <w:div w:id="1807162472">
          <w:marLeft w:val="0"/>
          <w:marRight w:val="0"/>
          <w:marTop w:val="0"/>
          <w:marBottom w:val="0"/>
          <w:divBdr>
            <w:top w:val="single" w:sz="2" w:space="0" w:color="E5E5E5"/>
            <w:left w:val="single" w:sz="2" w:space="0" w:color="E5E5E5"/>
            <w:bottom w:val="single" w:sz="2" w:space="0" w:color="E5E5E5"/>
            <w:right w:val="single" w:sz="2" w:space="0" w:color="E5E5E5"/>
          </w:divBdr>
        </w:div>
        <w:div w:id="1478766005">
          <w:marLeft w:val="0"/>
          <w:marRight w:val="0"/>
          <w:marTop w:val="0"/>
          <w:marBottom w:val="0"/>
          <w:divBdr>
            <w:top w:val="single" w:sz="2" w:space="0" w:color="E5E5E5"/>
            <w:left w:val="single" w:sz="2" w:space="0" w:color="E5E5E5"/>
            <w:bottom w:val="single" w:sz="2" w:space="0" w:color="E5E5E5"/>
            <w:right w:val="single" w:sz="2" w:space="0" w:color="E5E5E5"/>
          </w:divBdr>
        </w:div>
        <w:div w:id="411270954">
          <w:marLeft w:val="0"/>
          <w:marRight w:val="0"/>
          <w:marTop w:val="0"/>
          <w:marBottom w:val="0"/>
          <w:divBdr>
            <w:top w:val="single" w:sz="2" w:space="0" w:color="E5E5E5"/>
            <w:left w:val="single" w:sz="2" w:space="0" w:color="E5E5E5"/>
            <w:bottom w:val="single" w:sz="2" w:space="0" w:color="E5E5E5"/>
            <w:right w:val="single" w:sz="2" w:space="0" w:color="E5E5E5"/>
          </w:divBdr>
        </w:div>
        <w:div w:id="198015637">
          <w:marLeft w:val="0"/>
          <w:marRight w:val="0"/>
          <w:marTop w:val="0"/>
          <w:marBottom w:val="0"/>
          <w:divBdr>
            <w:top w:val="single" w:sz="2" w:space="0" w:color="E5E5E5"/>
            <w:left w:val="single" w:sz="2" w:space="0" w:color="E5E5E5"/>
            <w:bottom w:val="single" w:sz="2" w:space="0" w:color="E5E5E5"/>
            <w:right w:val="single" w:sz="2" w:space="0" w:color="E5E5E5"/>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1830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Taipe Ballena</dc:creator>
  <cp:keywords/>
  <dc:description/>
  <cp:lastModifiedBy>Abraham Taipe Ballena</cp:lastModifiedBy>
  <cp:revision>5</cp:revision>
  <dcterms:created xsi:type="dcterms:W3CDTF">2023-02-22T20:40:00Z</dcterms:created>
  <dcterms:modified xsi:type="dcterms:W3CDTF">2023-02-24T21:40:00Z</dcterms:modified>
</cp:coreProperties>
</file>