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42B3" w14:textId="77777777" w:rsidR="005764F9" w:rsidRPr="005764F9" w:rsidRDefault="005764F9" w:rsidP="005764F9">
      <w:pPr>
        <w:jc w:val="center"/>
        <w:rPr>
          <w:rFonts w:ascii="Arial" w:hAnsi="Arial" w:cs="Arial"/>
          <w:b/>
          <w:bCs/>
          <w:sz w:val="8"/>
          <w:szCs w:val="8"/>
          <w:u w:val="single"/>
        </w:rPr>
      </w:pPr>
    </w:p>
    <w:p w14:paraId="4737AD2E" w14:textId="4A581A42" w:rsidR="005764F9" w:rsidRPr="005764F9" w:rsidRDefault="005764F9" w:rsidP="005764F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764F9">
        <w:rPr>
          <w:rFonts w:ascii="Arial" w:hAnsi="Arial" w:cs="Arial"/>
          <w:b/>
          <w:bCs/>
          <w:sz w:val="24"/>
          <w:szCs w:val="24"/>
          <w:u w:val="single"/>
        </w:rPr>
        <w:t>NOTA DE PRENSA</w:t>
      </w:r>
    </w:p>
    <w:p w14:paraId="3DFBA69C" w14:textId="77777777" w:rsidR="005764F9" w:rsidRPr="005764F9" w:rsidRDefault="005764F9" w:rsidP="005764F9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764F9">
        <w:rPr>
          <w:rFonts w:ascii="Arial" w:hAnsi="Arial" w:cs="Arial"/>
          <w:b/>
          <w:bCs/>
          <w:sz w:val="36"/>
          <w:szCs w:val="36"/>
        </w:rPr>
        <w:t>Produce aprobó padrón de beneficiarios del bono del pescador artesanal</w:t>
      </w:r>
    </w:p>
    <w:p w14:paraId="7A3393E6" w14:textId="6AA4451A" w:rsidR="005764F9" w:rsidRPr="005764F9" w:rsidRDefault="005764F9" w:rsidP="005764F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764F9">
        <w:rPr>
          <w:rFonts w:ascii="Arial" w:hAnsi="Arial" w:cs="Arial"/>
          <w:sz w:val="24"/>
          <w:szCs w:val="24"/>
        </w:rPr>
        <w:t>Son S/ 18.8 millones en favor de los pescadores artesanales embarcados y no embarcados formales, quienes podrán cobrar los S/ 500 en el Banco de la Nación.</w:t>
      </w:r>
    </w:p>
    <w:p w14:paraId="27BDC79B" w14:textId="6D29C762" w:rsidR="005764F9" w:rsidRPr="005764F9" w:rsidRDefault="005764F9" w:rsidP="005764F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764F9">
        <w:rPr>
          <w:rFonts w:ascii="Arial" w:hAnsi="Arial" w:cs="Arial"/>
          <w:sz w:val="24"/>
          <w:szCs w:val="24"/>
        </w:rPr>
        <w:t>En un plazo de 10 días calendario, se realizarán las gestiones con el Banco de la Nación para implementar el inicio del desembolso de la subvención económica.</w:t>
      </w:r>
    </w:p>
    <w:p w14:paraId="19239CB9" w14:textId="584191EA" w:rsidR="005764F9" w:rsidRPr="005764F9" w:rsidRDefault="005764F9" w:rsidP="005764F9">
      <w:pPr>
        <w:jc w:val="both"/>
        <w:rPr>
          <w:rFonts w:ascii="Arial" w:hAnsi="Arial" w:cs="Arial"/>
          <w:sz w:val="24"/>
          <w:szCs w:val="24"/>
        </w:rPr>
      </w:pPr>
      <w:r w:rsidRPr="005764F9">
        <w:rPr>
          <w:rFonts w:ascii="Arial" w:hAnsi="Arial" w:cs="Arial"/>
          <w:sz w:val="24"/>
          <w:szCs w:val="24"/>
        </w:rPr>
        <w:t xml:space="preserve">El ministro de la Producción, Raúl Pérez Reyes, informó que a través de la Resolución Ministerial </w:t>
      </w:r>
      <w:proofErr w:type="spellStart"/>
      <w:r w:rsidRPr="005764F9">
        <w:rPr>
          <w:rFonts w:ascii="Arial" w:hAnsi="Arial" w:cs="Arial"/>
          <w:sz w:val="24"/>
          <w:szCs w:val="24"/>
        </w:rPr>
        <w:t>Nº</w:t>
      </w:r>
      <w:proofErr w:type="spellEnd"/>
      <w:r w:rsidRPr="005764F9">
        <w:rPr>
          <w:rFonts w:ascii="Arial" w:hAnsi="Arial" w:cs="Arial"/>
          <w:sz w:val="24"/>
          <w:szCs w:val="24"/>
        </w:rPr>
        <w:t xml:space="preserve"> 0091-2023-PRODUCE, publicada</w:t>
      </w:r>
      <w:r>
        <w:rPr>
          <w:rFonts w:ascii="Arial" w:hAnsi="Arial" w:cs="Arial"/>
          <w:sz w:val="24"/>
          <w:szCs w:val="24"/>
        </w:rPr>
        <w:t xml:space="preserve"> ayer</w:t>
      </w:r>
      <w:r w:rsidRPr="005764F9">
        <w:rPr>
          <w:rFonts w:ascii="Arial" w:hAnsi="Arial" w:cs="Arial"/>
          <w:sz w:val="24"/>
          <w:szCs w:val="24"/>
        </w:rPr>
        <w:t xml:space="preserve"> en el diario oficial El Peruano, se aprobó el padrón de beneficiarios del “bono del pescador artesanal”, que incluye a pescadores artesanales embarcados y no embarcados con permiso de pesca.</w:t>
      </w:r>
    </w:p>
    <w:p w14:paraId="06402A85" w14:textId="77777777" w:rsidR="005764F9" w:rsidRPr="005764F9" w:rsidRDefault="005764F9" w:rsidP="005764F9">
      <w:pPr>
        <w:jc w:val="both"/>
        <w:rPr>
          <w:rFonts w:ascii="Arial" w:hAnsi="Arial" w:cs="Arial"/>
          <w:sz w:val="24"/>
          <w:szCs w:val="24"/>
        </w:rPr>
      </w:pPr>
      <w:r w:rsidRPr="005764F9">
        <w:rPr>
          <w:rFonts w:ascii="Arial" w:hAnsi="Arial" w:cs="Arial"/>
          <w:sz w:val="24"/>
          <w:szCs w:val="24"/>
        </w:rPr>
        <w:t xml:space="preserve"> “Esta subvención económica única y extraordinaria de S/ 500 está enmarcada en el plan “Punche Productivo”, el cual destinó S/ 18.8 millones en favor de los pescadores artesanales y tiene como objetivo contribuir con la reactivación económica de la actividad, considerando las afectaciones que han tenido en la economía familiar”, destacó.</w:t>
      </w:r>
    </w:p>
    <w:p w14:paraId="66ABE477" w14:textId="7DA7D12B" w:rsidR="005764F9" w:rsidRPr="005764F9" w:rsidRDefault="005764F9" w:rsidP="005764F9">
      <w:pPr>
        <w:jc w:val="both"/>
        <w:rPr>
          <w:rFonts w:ascii="Arial" w:hAnsi="Arial" w:cs="Arial"/>
          <w:sz w:val="24"/>
          <w:szCs w:val="24"/>
        </w:rPr>
      </w:pPr>
      <w:r w:rsidRPr="005764F9">
        <w:rPr>
          <w:rFonts w:ascii="Arial" w:hAnsi="Arial" w:cs="Arial"/>
          <w:sz w:val="24"/>
          <w:szCs w:val="24"/>
        </w:rPr>
        <w:t xml:space="preserve">De acuerdo al Decreto de Urgencia </w:t>
      </w:r>
      <w:proofErr w:type="spellStart"/>
      <w:r w:rsidRPr="005764F9">
        <w:rPr>
          <w:rFonts w:ascii="Arial" w:hAnsi="Arial" w:cs="Arial"/>
          <w:sz w:val="24"/>
          <w:szCs w:val="24"/>
        </w:rPr>
        <w:t>N°</w:t>
      </w:r>
      <w:proofErr w:type="spellEnd"/>
      <w:r w:rsidRPr="005764F9">
        <w:rPr>
          <w:rFonts w:ascii="Arial" w:hAnsi="Arial" w:cs="Arial"/>
          <w:sz w:val="24"/>
          <w:szCs w:val="24"/>
        </w:rPr>
        <w:t xml:space="preserve"> 004-2023, el cual considera un plazo de 10 días calendario, contados desde la aprobación del citado </w:t>
      </w:r>
      <w:r>
        <w:rPr>
          <w:rFonts w:ascii="Arial" w:hAnsi="Arial" w:cs="Arial"/>
          <w:sz w:val="24"/>
          <w:szCs w:val="24"/>
        </w:rPr>
        <w:t>p</w:t>
      </w:r>
      <w:r w:rsidRPr="005764F9">
        <w:rPr>
          <w:rFonts w:ascii="Arial" w:hAnsi="Arial" w:cs="Arial"/>
          <w:sz w:val="24"/>
          <w:szCs w:val="24"/>
        </w:rPr>
        <w:t>adrón, se realizarán las gestiones con el Banco de la Nación para implementar el inicio del desembolso de la subvención económica.</w:t>
      </w:r>
    </w:p>
    <w:p w14:paraId="6B689340" w14:textId="77777777" w:rsidR="005764F9" w:rsidRPr="005764F9" w:rsidRDefault="005764F9" w:rsidP="005764F9">
      <w:pPr>
        <w:jc w:val="both"/>
        <w:rPr>
          <w:rFonts w:ascii="Arial" w:hAnsi="Arial" w:cs="Arial"/>
          <w:sz w:val="24"/>
          <w:szCs w:val="24"/>
        </w:rPr>
      </w:pPr>
      <w:r w:rsidRPr="005764F9">
        <w:rPr>
          <w:rFonts w:ascii="Arial" w:hAnsi="Arial" w:cs="Arial"/>
          <w:sz w:val="24"/>
          <w:szCs w:val="24"/>
        </w:rPr>
        <w:t>Para ello; después del plazo señalado, los pescadores artesanales podrán ingresar al sitio web: bonopescadorartesanal.produce.gob.pe, luego escribir el número de tu DNI y consultar si es beneficiario, si le corresponde el bono del pescador artesanal verá el mensaje: “Si le corresponde el Bono del Pescador Artesanal”.</w:t>
      </w:r>
    </w:p>
    <w:p w14:paraId="25E5FF47" w14:textId="77777777" w:rsidR="005764F9" w:rsidRPr="005764F9" w:rsidRDefault="005764F9" w:rsidP="005764F9">
      <w:pPr>
        <w:jc w:val="both"/>
        <w:rPr>
          <w:rFonts w:ascii="Arial" w:hAnsi="Arial" w:cs="Arial"/>
          <w:sz w:val="24"/>
          <w:szCs w:val="24"/>
        </w:rPr>
      </w:pPr>
      <w:r w:rsidRPr="005764F9">
        <w:rPr>
          <w:rFonts w:ascii="Arial" w:hAnsi="Arial" w:cs="Arial"/>
          <w:sz w:val="24"/>
          <w:szCs w:val="24"/>
        </w:rPr>
        <w:t>Se debe señalar que la Dirección General de Pesca Artesanal del Despacho Viceministerial de Pesca y Acuicultura del Ministerio de la Producción elaboró el padrón de beneficiarios de los pescadores artesanales, con información provista por los gobiernos regionales, a través de las Direcciones Regionales de Producción (DIREPROS), y de la Dirección General de Capitanías y Guardacostas (DICAPI) de la Marina de Guerra del Perú hasta diciembre del 2022.</w:t>
      </w:r>
    </w:p>
    <w:p w14:paraId="037F188B" w14:textId="77777777" w:rsidR="005764F9" w:rsidRPr="005764F9" w:rsidRDefault="005764F9" w:rsidP="005764F9">
      <w:pPr>
        <w:jc w:val="both"/>
        <w:rPr>
          <w:rFonts w:ascii="Arial" w:hAnsi="Arial" w:cs="Arial"/>
          <w:sz w:val="24"/>
          <w:szCs w:val="24"/>
        </w:rPr>
      </w:pPr>
      <w:r w:rsidRPr="005764F9">
        <w:rPr>
          <w:rFonts w:ascii="Arial" w:hAnsi="Arial" w:cs="Arial"/>
          <w:sz w:val="24"/>
          <w:szCs w:val="24"/>
        </w:rPr>
        <w:t>Por último, se indicó que se ha establecido como fecha límite el 30 de abril para el cobro de la subvención monetaria por parte de los pescadores artesanales beneficiados.</w:t>
      </w:r>
    </w:p>
    <w:p w14:paraId="5B71FF7F" w14:textId="3DDD467E" w:rsidR="00F9672B" w:rsidRPr="005764F9" w:rsidRDefault="005764F9" w:rsidP="005764F9">
      <w:pPr>
        <w:jc w:val="right"/>
        <w:rPr>
          <w:rFonts w:ascii="Arial" w:hAnsi="Arial" w:cs="Arial"/>
          <w:b/>
          <w:bCs/>
        </w:rPr>
      </w:pPr>
      <w:r w:rsidRPr="005764F9">
        <w:rPr>
          <w:rFonts w:ascii="Arial" w:hAnsi="Arial" w:cs="Arial"/>
          <w:b/>
          <w:bCs/>
        </w:rPr>
        <w:t>Lima, 3 de marzo de 2023</w:t>
      </w:r>
    </w:p>
    <w:sectPr w:rsidR="00F9672B" w:rsidRPr="005764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6436D" w14:textId="77777777" w:rsidR="00D97403" w:rsidRDefault="00D97403" w:rsidP="005764F9">
      <w:pPr>
        <w:spacing w:after="0" w:line="240" w:lineRule="auto"/>
      </w:pPr>
      <w:r>
        <w:separator/>
      </w:r>
    </w:p>
  </w:endnote>
  <w:endnote w:type="continuationSeparator" w:id="0">
    <w:p w14:paraId="5CF0179E" w14:textId="77777777" w:rsidR="00D97403" w:rsidRDefault="00D97403" w:rsidP="0057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E2E" w14:textId="77777777" w:rsidR="00D97403" w:rsidRDefault="00D97403" w:rsidP="005764F9">
      <w:pPr>
        <w:spacing w:after="0" w:line="240" w:lineRule="auto"/>
      </w:pPr>
      <w:r>
        <w:separator/>
      </w:r>
    </w:p>
  </w:footnote>
  <w:footnote w:type="continuationSeparator" w:id="0">
    <w:p w14:paraId="72213856" w14:textId="77777777" w:rsidR="00D97403" w:rsidRDefault="00D97403" w:rsidP="00576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2E40" w14:textId="068E28D1" w:rsidR="005764F9" w:rsidRDefault="005764F9">
    <w:pPr>
      <w:pStyle w:val="Encabezado"/>
    </w:pPr>
    <w:r w:rsidRPr="00870A00">
      <w:rPr>
        <w:noProof/>
        <w:sz w:val="20"/>
        <w:lang w:eastAsia="es-PE"/>
      </w:rPr>
      <w:drawing>
        <wp:anchor distT="0" distB="0" distL="114300" distR="114300" simplePos="0" relativeHeight="251659264" behindDoc="0" locked="0" layoutInCell="1" allowOverlap="1" wp14:anchorId="16C09E43" wp14:editId="76843CF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171700" cy="441960"/>
          <wp:effectExtent l="0" t="0" r="0" b="0"/>
          <wp:wrapNone/>
          <wp:docPr id="4" name="Imagen 4" descr="LOGO PRODUCE 2016 - PARA FONDO 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 PRODUCE 2016 - PARA FONDO A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D072C"/>
    <w:multiLevelType w:val="hybridMultilevel"/>
    <w:tmpl w:val="B16613D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702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07"/>
    <w:rsid w:val="005764F9"/>
    <w:rsid w:val="00636907"/>
    <w:rsid w:val="00D97403"/>
    <w:rsid w:val="00F9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E619E0"/>
  <w15:chartTrackingRefBased/>
  <w15:docId w15:val="{3C25CFC9-6156-4916-9441-DBB1B7B6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64F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6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64F9"/>
  </w:style>
  <w:style w:type="paragraph" w:styleId="Piedepgina">
    <w:name w:val="footer"/>
    <w:basedOn w:val="Normal"/>
    <w:link w:val="PiedepginaCar"/>
    <w:uiPriority w:val="99"/>
    <w:unhideWhenUsed/>
    <w:rsid w:val="00576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2023-03-03T11:44:00Z</dcterms:created>
  <dcterms:modified xsi:type="dcterms:W3CDTF">2023-03-03T11:50:00Z</dcterms:modified>
</cp:coreProperties>
</file>