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Sanipes toma urgentes acciones para disminuir consecuencias del ciclón Yaku</w:t>
      </w:r>
    </w:p>
    <w:p w:rsidR="00000000" w:rsidDel="00000000" w:rsidP="00000000" w:rsidRDefault="00000000" w:rsidRPr="00000000" w14:paraId="00000003">
      <w:pPr>
        <w:ind w:left="1" w:hanging="3"/>
        <w:jc w:val="both"/>
        <w:rPr>
          <w:rFonts w:ascii="Arial" w:cs="Arial" w:eastAsia="Arial" w:hAnsi="Arial"/>
          <w:i w:val="1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Reprogramación de monitoreos a áreas de producción de conchas de abanico y bancos naturales facilita la rápida cosecha y extracción que eviten pérdidas para los maricultores y pescadores artesanales.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Organismo Nacional de Sanidad Pesquera (Sanipes), entidad adscrita al Ministerio de la Producción, toma urgentes acciones que busquen disminuir en las consecuencias del ciclón Yaku en la acuicultura y pesca artesanal del país.</w:t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Debido a l</w:t>
      </w:r>
      <w:r w:rsidDel="00000000" w:rsidR="00000000" w:rsidRPr="00000000">
        <w:rPr>
          <w:rFonts w:ascii="Arial" w:cs="Arial" w:eastAsia="Arial" w:hAnsi="Arial"/>
          <w:rtl w:val="0"/>
        </w:rPr>
        <w:t xml:space="preserve">as intensas lluvias en el litoral e interior del país, provocado por el paso del ciclón Yaku, se han activado gran cantidad de quebradas, crecida y descarga de ríos hacia la línea costera del Perú, por lo que la afectación a la maricultura (conchas de abanico) y demás bancos naturales es latente y continua.</w:t>
      </w:r>
    </w:p>
    <w:p w:rsidR="00000000" w:rsidDel="00000000" w:rsidP="00000000" w:rsidRDefault="00000000" w:rsidRPr="00000000" w14:paraId="00000008">
      <w:pPr>
        <w:spacing w:after="0" w:line="240" w:lineRule="auto"/>
        <w:ind w:hanging="2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Ante esta situación, Sanipes decidió reprogramar </w:t>
      </w:r>
      <w:r w:rsidDel="00000000" w:rsidR="00000000" w:rsidRPr="00000000">
        <w:rPr>
          <w:rFonts w:ascii="Arial" w:cs="Arial" w:eastAsia="Arial" w:hAnsi="Arial"/>
          <w:rtl w:val="0"/>
        </w:rPr>
        <w:t xml:space="preserve">la frecuencia de monitoreo en las áreas de producción de concha de abanico y bancos naturales</w:t>
      </w:r>
      <w:r w:rsidDel="00000000" w:rsidR="00000000" w:rsidRPr="00000000">
        <w:rPr>
          <w:rFonts w:ascii="Arial" w:cs="Arial" w:eastAsia="Arial" w:hAnsi="Arial"/>
          <w:rtl w:val="0"/>
        </w:rPr>
        <w:t xml:space="preserve"> a fin de que los maricultores y pescadores artesanales puedan contar con las áreas abiertas y realizar la cosecha y/o extracción de los recursos y evitar pérdidas de producción.</w:t>
      </w:r>
    </w:p>
    <w:p w:rsidR="00000000" w:rsidDel="00000000" w:rsidP="00000000" w:rsidRDefault="00000000" w:rsidRPr="00000000" w14:paraId="0000000A">
      <w:pPr>
        <w:spacing w:after="0" w:line="240" w:lineRule="auto"/>
        <w:ind w:hanging="2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También, facilitar la emisión de la DER electrónica (Declaración de Extracción y/o Recolección de Moluscos Bivalvos Vivos) de manera remota (virtual), para la inmediata atención a la extracción de recurso que se encuentra en peligro de mortandad por la venida de agua de río hacia las áreas de producción y banco naturales de recurso.</w:t>
      </w:r>
    </w:p>
    <w:p w:rsidR="00000000" w:rsidDel="00000000" w:rsidP="00000000" w:rsidRDefault="00000000" w:rsidRPr="00000000" w14:paraId="0000000C">
      <w:pPr>
        <w:spacing w:after="0" w:line="240" w:lineRule="auto"/>
        <w:ind w:hanging="2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Además, facilitar los canales de traslado de muestras hacia los laboratorios de Sanipes en Lima y Piura, a fin que las áreas de producción y bancos naturales se encuentren sanitariamente operativas y abiertas para la continuidad de cosecha y/o de extracción.</w:t>
      </w:r>
    </w:p>
    <w:p w:rsidR="00000000" w:rsidDel="00000000" w:rsidP="00000000" w:rsidRDefault="00000000" w:rsidRPr="00000000" w14:paraId="0000000E">
      <w:pPr>
        <w:spacing w:after="0" w:line="240" w:lineRule="auto"/>
        <w:ind w:hanging="2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Finalmente, el personal de laboratorio de Sanipes, dará atención inmediata a las muestras de las áreas de producción de concha de abanico y bancos naturales de otras especies a fin de presentar resultados sanitarios para la continuidad de la cadena productiva hidrobiológica.</w:t>
      </w:r>
    </w:p>
    <w:p w:rsidR="00000000" w:rsidDel="00000000" w:rsidP="00000000" w:rsidRDefault="00000000" w:rsidRPr="00000000" w14:paraId="00000010">
      <w:pPr>
        <w:spacing w:after="0" w:line="240" w:lineRule="auto"/>
        <w:ind w:hanging="2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hanging="2"/>
        <w:jc w:val="both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Importante resaltar, que todas las acciones de urgencia desarrolladas por Sanipes, se encuentran en salvaguarda del control de la inocuidad de los recursos hidrobiológicos, la seguridad alimentaria y la continuidad de la cadena productiva hidrobiológica que es el sustento de miles de pescadores artesanales, organizaciones pesqueras artesanales (OSPAS) y demás operadores de la cadena productiva de la pesca y acuicultura del Perú.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143" w:hanging="2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Agradecemos su difusión.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695" w:left="1701" w:right="1701" w:header="567" w:footer="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leader="none" w:pos="-284"/>
      </w:tabs>
      <w:spacing w:after="0" w:line="360" w:lineRule="auto"/>
      <w:ind w:left="0" w:right="-568" w:hanging="2"/>
      <w:jc w:val="both"/>
      <w:rPr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-504398</wp:posOffset>
          </wp:positionH>
          <wp:positionV relativeFrom="paragraph">
            <wp:posOffset>148026</wp:posOffset>
          </wp:positionV>
          <wp:extent cx="1528153" cy="656539"/>
          <wp:effectExtent b="0" l="0" r="0" t="0"/>
          <wp:wrapNone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153" cy="65653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ind w:left="0" w:hanging="2"/>
      <w:rPr>
        <w:sz w:val="10"/>
        <w:szCs w:val="1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4902975</wp:posOffset>
          </wp:positionH>
          <wp:positionV relativeFrom="paragraph">
            <wp:posOffset>21096</wp:posOffset>
          </wp:positionV>
          <wp:extent cx="1066645" cy="643198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645" cy="6431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Ca. Amador Merino Reyna 267 Piso 12 San Isidro - Lima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Av. Carretera a Ventanilla km 5.2 - Callao</w:t>
      <w:br w:type="textWrapping"/>
      <w:t xml:space="preserve">www.gob.pe/sanipes</w:t>
    </w:r>
  </w:p>
  <w:p w:rsidR="00000000" w:rsidDel="00000000" w:rsidP="00000000" w:rsidRDefault="00000000" w:rsidRPr="00000000" w14:paraId="00000021">
    <w:pPr>
      <w:tabs>
        <w:tab w:val="left" w:leader="none" w:pos="-284"/>
      </w:tabs>
      <w:spacing w:after="0" w:line="360" w:lineRule="auto"/>
      <w:ind w:right="-568"/>
      <w:jc w:val="both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-594711</wp:posOffset>
          </wp:positionH>
          <wp:positionV relativeFrom="paragraph">
            <wp:posOffset>12488</wp:posOffset>
          </wp:positionV>
          <wp:extent cx="2104712" cy="418679"/>
          <wp:effectExtent b="0" l="0" r="0" t="0"/>
          <wp:wrapNone/>
          <wp:docPr id="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4712" cy="4186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4406265</wp:posOffset>
          </wp:positionH>
          <wp:positionV relativeFrom="paragraph">
            <wp:posOffset>12488</wp:posOffset>
          </wp:positionV>
          <wp:extent cx="1538824" cy="486272"/>
          <wp:effectExtent b="0" l="0" r="0" t="0"/>
          <wp:wrapNone/>
          <wp:docPr id="2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8824" cy="4862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rPr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285" w:hanging="1.0000000000000142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“Decenio de la Igualdad de Oportunidades para Mujeres y Hombres”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286" w:firstLine="720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highlight w:val="white"/>
        <w:rtl w:val="0"/>
      </w:rPr>
      <w:t xml:space="preserve">“Año de la unidad, la paz y el desarrollo”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uiPriority w:val="99"/>
    <w:qFormat w:val="1"/>
    <w:pPr>
      <w:spacing w:after="0" w:line="240" w:lineRule="auto"/>
    </w:pPr>
  </w:style>
  <w:style w:type="character" w:styleId="EncabezadoCar" w:customStyle="1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spacing w:after="0" w:line="240" w:lineRule="auto"/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uadrculaclara-nfasis31" w:customStyle="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ind w:left="720"/>
      <w:contextualSpacing w:val="1"/>
    </w:p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20"/>
      <w:szCs w:val="20"/>
      <w:lang w:val="es-ES"/>
    </w:rPr>
  </w:style>
  <w:style w:type="character" w:styleId="TextoindependienteCar" w:customStyle="1">
    <w:name w:val="Texto independiente Car"/>
    <w:rPr>
      <w:rFonts w:ascii="Arial MT" w:cs="Arial MT" w:eastAsia="Arial MT" w:hAnsi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Ttulo11" w:customStyle="1">
    <w:name w:val="Título 11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1" w:customStyle="1">
    <w:name w:val="Normal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2" w:customStyle="1">
    <w:name w:val="Título 12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cs="Arial" w:eastAsia="Arial" w:hAnsi="Arial"/>
      <w:b w:val="1"/>
      <w:bCs w:val="1"/>
      <w:lang w:val="es-ES"/>
    </w:rPr>
  </w:style>
  <w:style w:type="paragraph" w:styleId="Normal2" w:customStyle="1">
    <w:name w:val="Normal2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table" w:styleId="TableNormal3" w:customStyle="1">
    <w:name w:val="Table Normal"/>
    <w:next w:val="TableNormal2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es-ES"/>
    </w:rPr>
  </w:style>
  <w:style w:type="character" w:styleId="Cuadrculaclara-nfasis3Car" w:customStyle="1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uadrculamedia2-nfasis11" w:customStyle="1">
    <w:name w:val="Cuadrícula media 2 - Énfasis 1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Century Gothic" w:cs="Century Gothic" w:hAnsi="Century Gothic"/>
      <w:color w:val="000000"/>
      <w:position w:val="-1"/>
      <w:sz w:val="24"/>
      <w:szCs w:val="24"/>
      <w:lang w:eastAsia="es-PE"/>
    </w:rPr>
  </w:style>
  <w:style w:type="paragraph" w:styleId="Cuadrculamedia1-nfasis21" w:customStyle="1">
    <w:name w:val="Cuadrícula media 1 - Énfasis 21"/>
    <w:aliases w:val="Bullet 1,titulo"/>
    <w:basedOn w:val="Normal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es-ES" w:val="es-ES"/>
    </w:rPr>
  </w:style>
  <w:style w:type="paragraph" w:styleId="Cuadrculaclara-nfasis310" w:customStyle="1">
    <w:name w:val="Cuadrícula clara - Énfasis 31"/>
    <w:basedOn w:val="Normal"/>
    <w:pPr>
      <w:ind w:left="720"/>
      <w:contextualSpacing w:val="1"/>
    </w:pPr>
    <w:rPr>
      <w:lang w:eastAsia="ja-JP"/>
    </w:rPr>
  </w:style>
  <w:style w:type="paragraph" w:styleId="Cuadrculamedia21" w:customStyle="1">
    <w:name w:val="Cuadrícula media 2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s-ES" w:val="es-ES"/>
    </w:rPr>
  </w:style>
  <w:style w:type="character" w:styleId="Cuadrculamedia2Car" w:customStyle="1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rrafodelista1" w:customStyle="1">
    <w:name w:val="Párrafo de lista1"/>
    <w:aliases w:val="Colorful List Accent 1,Ha,SUBTITU MEMO,Viñeta normal,Tipo2,List Paragraph-Thesis,paul2"/>
    <w:basedOn w:val="Normal"/>
    <w:pPr>
      <w:spacing w:after="0" w:line="240" w:lineRule="auto"/>
      <w:ind w:left="720"/>
      <w:contextualSpacing w:val="1"/>
    </w:pPr>
    <w:rPr>
      <w:rFonts w:ascii="Times New Roman" w:hAnsi="Times New Roman"/>
      <w:sz w:val="24"/>
      <w:szCs w:val="24"/>
      <w:lang w:eastAsia="es-ES" w:val="es-ES"/>
    </w:rPr>
  </w:style>
  <w:style w:type="character" w:styleId="Mencinsinresolver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Hipervnculo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arkzzkuas3gt" w:customStyle="1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174B23"/>
    <w:pPr>
      <w:ind w:left="720"/>
      <w:contextualSpacing w:val="1"/>
    </w:pPr>
  </w:style>
  <w:style w:type="paragraph" w:styleId="Sinespaciado">
    <w:name w:val="No Spacing"/>
    <w:uiPriority w:val="1"/>
    <w:qFormat w:val="1"/>
    <w:rsid w:val="00691135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qddpZyieixVEvrUq88PSMrOIIw==">AMUW2mWtTs2in6+uaaDgbEC7L8mnsWOTEnQzr6w2Yk8XmGZbIR/h9Q+/k4X4vOKzJDxSHHZBHKJQs0LZsWCRRsPBkK2ojOAjand9DaPuZm5lJX2jfFHYKTk=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2023-03-09T13:55:00Z</dcterms:created>
  <dc:creator>Comunicaciones</dc:creator>
</cp:coreProperties>
</file>