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6B6" w:rsidRDefault="002D2CA4">
      <w:pPr>
        <w:ind w:left="0" w:hanging="2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Nota de Prensa</w:t>
      </w:r>
    </w:p>
    <w:p w:rsidR="002946B6" w:rsidRDefault="002D2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4"/>
          <w:szCs w:val="34"/>
        </w:rPr>
        <w:t xml:space="preserve">Sanipes capacitará 10 mil operadores </w:t>
      </w:r>
      <w:r>
        <w:rPr>
          <w:rFonts w:ascii="Arial" w:eastAsia="Arial" w:hAnsi="Arial" w:cs="Arial"/>
          <w:b/>
          <w:sz w:val="32"/>
          <w:szCs w:val="32"/>
        </w:rPr>
        <w:t>de la cadena productiva de los alimentos hidrobiológicos a nivel nacional</w:t>
      </w:r>
    </w:p>
    <w:p w:rsidR="002946B6" w:rsidRDefault="002D2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i/>
          <w:color w:val="212121"/>
          <w:sz w:val="20"/>
          <w:szCs w:val="20"/>
        </w:rPr>
      </w:pPr>
      <w:r>
        <w:rPr>
          <w:rFonts w:ascii="Arial" w:eastAsia="Arial" w:hAnsi="Arial" w:cs="Arial"/>
          <w:i/>
          <w:color w:val="212121"/>
          <w:sz w:val="20"/>
          <w:szCs w:val="20"/>
        </w:rPr>
        <w:t xml:space="preserve">Previamente se encuentra compartiendo a los especialistas sanitarios, todos los alcances del Reglamento Sectorial de Inocuidad para las Actividades Pesqueras y Acuícolas que entra en vigencia el 30 de junio </w:t>
      </w:r>
    </w:p>
    <w:p w:rsidR="002946B6" w:rsidRDefault="00294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2946B6" w:rsidRDefault="002D2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El Organismo Nacional de Sanidad Pesquera (Sanipes), entidad adscrita al Ministerio de la Producción, </w:t>
      </w:r>
      <w:r>
        <w:rPr>
          <w:rFonts w:ascii="Arial" w:eastAsia="Arial" w:hAnsi="Arial" w:cs="Arial"/>
          <w:sz w:val="20"/>
          <w:szCs w:val="20"/>
        </w:rPr>
        <w:t>capacit</w:t>
      </w:r>
      <w:r>
        <w:rPr>
          <w:rFonts w:ascii="Arial" w:eastAsia="Arial" w:hAnsi="Arial" w:cs="Arial"/>
          <w:color w:val="000000"/>
          <w:sz w:val="20"/>
          <w:szCs w:val="20"/>
        </w:rPr>
        <w:t>ará hasta fin de a</w:t>
      </w:r>
      <w:r>
        <w:rPr>
          <w:rFonts w:ascii="Arial" w:eastAsia="Arial" w:hAnsi="Arial" w:cs="Arial"/>
          <w:sz w:val="20"/>
          <w:szCs w:val="20"/>
        </w:rPr>
        <w:t xml:space="preserve">ño, 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10 mil operadores </w:t>
      </w:r>
      <w:r>
        <w:rPr>
          <w:rFonts w:ascii="Arial" w:eastAsia="Arial" w:hAnsi="Arial" w:cs="Arial"/>
          <w:sz w:val="20"/>
          <w:szCs w:val="20"/>
        </w:rPr>
        <w:t xml:space="preserve">de la cadena productiva de los alimentos hidrobiológicos, </w:t>
      </w:r>
      <w:r>
        <w:rPr>
          <w:rFonts w:ascii="Arial" w:eastAsia="Arial" w:hAnsi="Arial" w:cs="Arial"/>
          <w:color w:val="26292E"/>
          <w:sz w:val="20"/>
          <w:szCs w:val="20"/>
          <w:shd w:val="clear" w:color="auto" w:fill="FDFDFD"/>
        </w:rPr>
        <w:t>dedicados a la pesca y acuicultura, reforzando así sus conocimientos para optimizar su labor cotidiana.</w:t>
      </w:r>
    </w:p>
    <w:p w:rsidR="002946B6" w:rsidRDefault="00294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2946B6" w:rsidRDefault="002D2CA4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 xml:space="preserve">Este año a diferencia de los anteriores, se duplica la cifra esperada tras la reactivación económica del país, que viene superando las complicaciones que trajo la pandemia por Covid-19; sumado al interés que genera en el sector la actualización en la normativa, tras la aprobación del </w:t>
      </w:r>
      <w:r>
        <w:rPr>
          <w:rFonts w:ascii="Arial" w:eastAsia="Arial" w:hAnsi="Arial" w:cs="Arial"/>
          <w:sz w:val="20"/>
          <w:szCs w:val="20"/>
        </w:rPr>
        <w:t>Reglamento Sectorial de Inocuidad para las Actividades Pesqueras y Acuícolas.</w:t>
      </w:r>
    </w:p>
    <w:p w:rsidR="002946B6" w:rsidRDefault="002946B6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2946B6" w:rsidRDefault="002D2CA4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 documento normativo, plasmado en el Decreto Supremo N° 020-2022-PRODUCE, fue publicado el 31 de diciembre del 2022</w:t>
      </w:r>
      <w:r w:rsidR="00192735">
        <w:rPr>
          <w:rFonts w:ascii="Arial" w:eastAsia="Arial" w:hAnsi="Arial" w:cs="Arial"/>
          <w:sz w:val="20"/>
          <w:szCs w:val="20"/>
        </w:rPr>
        <w:t xml:space="preserve"> y entrará en vigencia des</w:t>
      </w:r>
      <w:r w:rsidR="00DE2759">
        <w:rPr>
          <w:rFonts w:ascii="Arial" w:eastAsia="Arial" w:hAnsi="Arial" w:cs="Arial"/>
          <w:sz w:val="20"/>
          <w:szCs w:val="20"/>
        </w:rPr>
        <w:t>d</w:t>
      </w:r>
      <w:r w:rsidR="00192735">
        <w:rPr>
          <w:rFonts w:ascii="Arial" w:eastAsia="Arial" w:hAnsi="Arial" w:cs="Arial"/>
          <w:sz w:val="20"/>
          <w:szCs w:val="20"/>
        </w:rPr>
        <w:t>e el 30 de junio d</w:t>
      </w:r>
      <w:r w:rsidR="00625196">
        <w:rPr>
          <w:rFonts w:ascii="Arial" w:eastAsia="Arial" w:hAnsi="Arial" w:cs="Arial"/>
          <w:sz w:val="20"/>
          <w:szCs w:val="20"/>
        </w:rPr>
        <w:t>el 2023</w:t>
      </w:r>
      <w:r>
        <w:rPr>
          <w:rFonts w:ascii="Arial" w:eastAsia="Arial" w:hAnsi="Arial" w:cs="Arial"/>
          <w:sz w:val="20"/>
          <w:szCs w:val="20"/>
        </w:rPr>
        <w:t>; por lo cual las actividades de capacitación sobre dicha temática forman parte de la programación para el presente año.</w:t>
      </w:r>
    </w:p>
    <w:p w:rsidR="002946B6" w:rsidRPr="00192735" w:rsidRDefault="002946B6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661689" w:rsidRPr="00661689" w:rsidRDefault="002D2CA4" w:rsidP="00661689">
      <w:pPr>
        <w:pStyle w:val="Sinespaciado"/>
        <w:ind w:left="0" w:hanging="2"/>
        <w:jc w:val="both"/>
        <w:rPr>
          <w:rFonts w:ascii="Arial" w:hAnsi="Arial" w:cs="Arial"/>
          <w:sz w:val="20"/>
          <w:szCs w:val="20"/>
        </w:rPr>
      </w:pPr>
      <w:r w:rsidRPr="002E6EB6">
        <w:rPr>
          <w:rFonts w:ascii="Arial" w:eastAsia="Arial" w:hAnsi="Arial" w:cs="Arial"/>
          <w:sz w:val="20"/>
          <w:szCs w:val="20"/>
        </w:rPr>
        <w:t xml:space="preserve">Por ello, </w:t>
      </w:r>
      <w:r w:rsidR="002E6EB6" w:rsidRPr="002E6EB6">
        <w:rPr>
          <w:rFonts w:ascii="Arial" w:eastAsia="Arial" w:hAnsi="Arial" w:cs="Arial"/>
          <w:sz w:val="20"/>
          <w:szCs w:val="20"/>
        </w:rPr>
        <w:t xml:space="preserve">se viene </w:t>
      </w:r>
      <w:r w:rsidR="00661689">
        <w:rPr>
          <w:rFonts w:ascii="Arial" w:eastAsia="Arial" w:hAnsi="Arial" w:cs="Arial"/>
          <w:sz w:val="20"/>
          <w:szCs w:val="20"/>
        </w:rPr>
        <w:t>culmin</w:t>
      </w:r>
      <w:r w:rsidR="002E6EB6" w:rsidRPr="002E6EB6">
        <w:rPr>
          <w:rFonts w:ascii="Arial" w:eastAsia="Arial" w:hAnsi="Arial" w:cs="Arial"/>
          <w:sz w:val="20"/>
          <w:szCs w:val="20"/>
        </w:rPr>
        <w:t xml:space="preserve">ando la primera etapa de capacitación </w:t>
      </w:r>
      <w:r w:rsidR="002E6EB6" w:rsidRPr="002E6EB6">
        <w:rPr>
          <w:rFonts w:ascii="Arial" w:hAnsi="Arial" w:cs="Arial"/>
          <w:sz w:val="20"/>
          <w:szCs w:val="20"/>
        </w:rPr>
        <w:t>dirigid</w:t>
      </w:r>
      <w:r w:rsidR="002E6EB6">
        <w:rPr>
          <w:rFonts w:ascii="Arial" w:hAnsi="Arial" w:cs="Arial"/>
          <w:sz w:val="20"/>
          <w:szCs w:val="20"/>
        </w:rPr>
        <w:t>a</w:t>
      </w:r>
      <w:r w:rsidR="002E6EB6" w:rsidRPr="002E6EB6">
        <w:rPr>
          <w:rFonts w:ascii="Arial" w:hAnsi="Arial" w:cs="Arial"/>
          <w:sz w:val="20"/>
          <w:szCs w:val="20"/>
        </w:rPr>
        <w:t xml:space="preserve"> a más de 170 profesionales de los diferentes </w:t>
      </w:r>
      <w:r w:rsidR="002E6EB6">
        <w:rPr>
          <w:rFonts w:ascii="Arial" w:hAnsi="Arial" w:cs="Arial"/>
          <w:sz w:val="20"/>
          <w:szCs w:val="20"/>
        </w:rPr>
        <w:t>ó</w:t>
      </w:r>
      <w:r w:rsidR="002E6EB6" w:rsidRPr="002E6EB6">
        <w:rPr>
          <w:rFonts w:ascii="Arial" w:hAnsi="Arial" w:cs="Arial"/>
          <w:sz w:val="20"/>
          <w:szCs w:val="20"/>
        </w:rPr>
        <w:t xml:space="preserve">rganos de </w:t>
      </w:r>
      <w:r w:rsidR="002E6EB6">
        <w:rPr>
          <w:rFonts w:ascii="Arial" w:hAnsi="Arial" w:cs="Arial"/>
          <w:sz w:val="20"/>
          <w:szCs w:val="20"/>
        </w:rPr>
        <w:t>l</w:t>
      </w:r>
      <w:r w:rsidR="002E6EB6" w:rsidRPr="002E6EB6">
        <w:rPr>
          <w:rFonts w:ascii="Arial" w:hAnsi="Arial" w:cs="Arial"/>
          <w:sz w:val="20"/>
          <w:szCs w:val="20"/>
        </w:rPr>
        <w:t xml:space="preserve">ínea </w:t>
      </w:r>
      <w:r w:rsidR="002E6EB6">
        <w:rPr>
          <w:rFonts w:ascii="Arial" w:hAnsi="Arial" w:cs="Arial"/>
          <w:sz w:val="20"/>
          <w:szCs w:val="20"/>
        </w:rPr>
        <w:t xml:space="preserve">y oficinas sanitarias desconcentradas a nivel nacional </w:t>
      </w:r>
      <w:r w:rsidR="002E6EB6" w:rsidRPr="002E6EB6">
        <w:rPr>
          <w:rFonts w:ascii="Arial" w:hAnsi="Arial" w:cs="Arial"/>
          <w:sz w:val="20"/>
          <w:szCs w:val="20"/>
        </w:rPr>
        <w:t>de</w:t>
      </w:r>
      <w:r w:rsidR="002E6EB6">
        <w:rPr>
          <w:rFonts w:ascii="Arial" w:hAnsi="Arial" w:cs="Arial"/>
          <w:sz w:val="20"/>
          <w:szCs w:val="20"/>
        </w:rPr>
        <w:t xml:space="preserve"> Sanipes</w:t>
      </w:r>
      <w:r w:rsidR="002E6EB6" w:rsidRPr="002E6EB6">
        <w:rPr>
          <w:rFonts w:ascii="Arial" w:hAnsi="Arial" w:cs="Arial"/>
          <w:sz w:val="20"/>
          <w:szCs w:val="20"/>
        </w:rPr>
        <w:t xml:space="preserve">, </w:t>
      </w:r>
      <w:r w:rsidR="002E6EB6">
        <w:rPr>
          <w:rFonts w:ascii="Arial" w:hAnsi="Arial" w:cs="Arial"/>
          <w:sz w:val="20"/>
          <w:szCs w:val="20"/>
        </w:rPr>
        <w:t xml:space="preserve">como </w:t>
      </w:r>
      <w:r w:rsidR="002E6EB6" w:rsidRPr="002E6EB6">
        <w:rPr>
          <w:rFonts w:ascii="Arial" w:hAnsi="Arial" w:cs="Arial"/>
          <w:sz w:val="20"/>
          <w:szCs w:val="20"/>
        </w:rPr>
        <w:t>fiscalizadores sanitarios, evaluadores, entre otros</w:t>
      </w:r>
      <w:r w:rsidR="002E6EB6">
        <w:rPr>
          <w:rFonts w:ascii="Arial" w:hAnsi="Arial" w:cs="Arial"/>
          <w:sz w:val="20"/>
          <w:szCs w:val="20"/>
        </w:rPr>
        <w:t xml:space="preserve">. </w:t>
      </w:r>
      <w:r w:rsidR="00661689">
        <w:rPr>
          <w:rFonts w:ascii="Arial" w:hAnsi="Arial" w:cs="Arial"/>
          <w:sz w:val="20"/>
          <w:szCs w:val="20"/>
        </w:rPr>
        <w:t>Seguido, se da inicio a la etapa dirigida a los operadores de la cadena productiva.</w:t>
      </w:r>
    </w:p>
    <w:p w:rsidR="002946B6" w:rsidRPr="00661689" w:rsidRDefault="002946B6" w:rsidP="00661689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212121"/>
          <w:sz w:val="10"/>
          <w:szCs w:val="10"/>
        </w:rPr>
      </w:pPr>
    </w:p>
    <w:p w:rsidR="00E74822" w:rsidRDefault="00E7482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12121"/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L</w:t>
      </w:r>
      <w:r w:rsidR="002D2CA4">
        <w:rPr>
          <w:rFonts w:ascii="Arial" w:eastAsia="Arial" w:hAnsi="Arial" w:cs="Arial"/>
          <w:color w:val="212121"/>
          <w:sz w:val="20"/>
          <w:szCs w:val="20"/>
        </w:rPr>
        <w:t>as actividades de capacitación en temas referidos a la normativa sanitaria para los agentes de la pesca artesanal</w:t>
      </w:r>
      <w:r>
        <w:rPr>
          <w:rFonts w:ascii="Arial" w:eastAsia="Arial" w:hAnsi="Arial" w:cs="Arial"/>
          <w:color w:val="212121"/>
          <w:sz w:val="20"/>
          <w:szCs w:val="20"/>
        </w:rPr>
        <w:t xml:space="preserve">, </w:t>
      </w:r>
      <w:r w:rsidR="002D2CA4">
        <w:rPr>
          <w:rFonts w:ascii="Arial" w:eastAsia="Arial" w:hAnsi="Arial" w:cs="Arial"/>
          <w:color w:val="212121"/>
          <w:sz w:val="20"/>
          <w:szCs w:val="20"/>
        </w:rPr>
        <w:t>se desarrolla</w:t>
      </w:r>
      <w:r w:rsidR="00625196">
        <w:rPr>
          <w:rFonts w:ascii="Arial" w:eastAsia="Arial" w:hAnsi="Arial" w:cs="Arial"/>
          <w:color w:val="212121"/>
          <w:sz w:val="20"/>
          <w:szCs w:val="20"/>
        </w:rPr>
        <w:t>rá</w:t>
      </w:r>
      <w:r>
        <w:rPr>
          <w:rFonts w:ascii="Arial" w:eastAsia="Arial" w:hAnsi="Arial" w:cs="Arial"/>
          <w:color w:val="212121"/>
          <w:sz w:val="20"/>
          <w:szCs w:val="20"/>
        </w:rPr>
        <w:t>n</w:t>
      </w:r>
      <w:r w:rsidR="002D2CA4">
        <w:rPr>
          <w:rFonts w:ascii="Arial" w:eastAsia="Arial" w:hAnsi="Arial" w:cs="Arial"/>
          <w:color w:val="212121"/>
          <w:sz w:val="20"/>
          <w:szCs w:val="20"/>
        </w:rPr>
        <w:t xml:space="preserve"> en las regiones de Tumbes, Piura, Lambayeque, La Libertad, </w:t>
      </w:r>
      <w:r w:rsidR="00625196">
        <w:rPr>
          <w:rFonts w:ascii="Arial" w:eastAsia="Arial" w:hAnsi="Arial" w:cs="Arial"/>
          <w:color w:val="212121"/>
          <w:sz w:val="20"/>
          <w:szCs w:val="20"/>
        </w:rPr>
        <w:t>Á</w:t>
      </w:r>
      <w:r w:rsidR="002D2CA4">
        <w:rPr>
          <w:rFonts w:ascii="Arial" w:eastAsia="Arial" w:hAnsi="Arial" w:cs="Arial"/>
          <w:color w:val="212121"/>
          <w:sz w:val="20"/>
          <w:szCs w:val="20"/>
        </w:rPr>
        <w:t>ncash, Lima, Callao, Ica, Arequipa, Moquegua, Tacna, Loreto, Puno, San Martín, Ucayali y Cusco</w:t>
      </w:r>
      <w:r>
        <w:rPr>
          <w:rFonts w:ascii="Arial" w:eastAsia="Arial" w:hAnsi="Arial" w:cs="Arial"/>
          <w:color w:val="212121"/>
          <w:sz w:val="20"/>
          <w:szCs w:val="20"/>
        </w:rPr>
        <w:t>.</w:t>
      </w:r>
    </w:p>
    <w:p w:rsidR="00E74822" w:rsidRPr="00E74822" w:rsidRDefault="00E74822">
      <w:pPr>
        <w:spacing w:after="0" w:line="240" w:lineRule="auto"/>
        <w:jc w:val="both"/>
        <w:rPr>
          <w:rFonts w:ascii="Arial" w:eastAsia="Arial" w:hAnsi="Arial" w:cs="Arial"/>
          <w:color w:val="212121"/>
          <w:sz w:val="10"/>
          <w:szCs w:val="10"/>
        </w:rPr>
      </w:pPr>
    </w:p>
    <w:p w:rsidR="002946B6" w:rsidRDefault="00E74822" w:rsidP="00E7482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12121"/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Abordarán</w:t>
      </w:r>
      <w:r w:rsidR="002D2CA4">
        <w:rPr>
          <w:rFonts w:ascii="Arial" w:eastAsia="Arial" w:hAnsi="Arial" w:cs="Arial"/>
          <w:color w:val="212121"/>
          <w:sz w:val="20"/>
          <w:szCs w:val="20"/>
        </w:rPr>
        <w:t xml:space="preserve"> los temas relacionados a la</w:t>
      </w:r>
      <w:r w:rsidR="00661689">
        <w:rPr>
          <w:rFonts w:ascii="Arial" w:eastAsia="Arial" w:hAnsi="Arial" w:cs="Arial"/>
          <w:color w:val="212121"/>
          <w:sz w:val="20"/>
          <w:szCs w:val="20"/>
        </w:rPr>
        <w:t xml:space="preserve"> </w:t>
      </w:r>
      <w:r w:rsidR="002D2CA4">
        <w:rPr>
          <w:rFonts w:ascii="Arial" w:eastAsia="Arial" w:hAnsi="Arial" w:cs="Arial"/>
          <w:color w:val="212121"/>
          <w:sz w:val="20"/>
          <w:szCs w:val="20"/>
        </w:rPr>
        <w:t>extracción, descarga y manipulación en los desembarcaderos pesqueros artesanales o puntos de descarga</w:t>
      </w:r>
      <w:r>
        <w:rPr>
          <w:rFonts w:ascii="Arial" w:eastAsia="Arial" w:hAnsi="Arial" w:cs="Arial"/>
          <w:color w:val="212121"/>
          <w:sz w:val="20"/>
          <w:szCs w:val="20"/>
        </w:rPr>
        <w:t>; t</w:t>
      </w:r>
      <w:r w:rsidR="002D2CA4">
        <w:rPr>
          <w:rFonts w:ascii="Arial" w:eastAsia="Arial" w:hAnsi="Arial" w:cs="Arial"/>
          <w:color w:val="212121"/>
          <w:sz w:val="20"/>
          <w:szCs w:val="20"/>
        </w:rPr>
        <w:t>ambién</w:t>
      </w:r>
      <w:r w:rsidR="00625196">
        <w:rPr>
          <w:rFonts w:ascii="Arial" w:eastAsia="Arial" w:hAnsi="Arial" w:cs="Arial"/>
          <w:color w:val="212121"/>
          <w:sz w:val="20"/>
          <w:szCs w:val="20"/>
        </w:rPr>
        <w:t>,</w:t>
      </w:r>
      <w:r w:rsidR="002D2CA4">
        <w:rPr>
          <w:rFonts w:ascii="Arial" w:eastAsia="Arial" w:hAnsi="Arial" w:cs="Arial"/>
          <w:color w:val="212121"/>
          <w:sz w:val="20"/>
          <w:szCs w:val="20"/>
        </w:rPr>
        <w:t xml:space="preserve"> las buenas prácticas pesqueras, higiene y saneamiento, inocuidad y trazabilidad</w:t>
      </w:r>
      <w:r>
        <w:rPr>
          <w:rFonts w:ascii="Arial" w:eastAsia="Arial" w:hAnsi="Arial" w:cs="Arial"/>
          <w:color w:val="212121"/>
          <w:sz w:val="20"/>
          <w:szCs w:val="20"/>
        </w:rPr>
        <w:t xml:space="preserve">; además, </w:t>
      </w:r>
      <w:r w:rsidR="002D2CA4">
        <w:rPr>
          <w:rFonts w:ascii="Arial" w:eastAsia="Arial" w:hAnsi="Arial" w:cs="Arial"/>
          <w:color w:val="212121"/>
          <w:sz w:val="20"/>
          <w:szCs w:val="20"/>
        </w:rPr>
        <w:t>la normativa sanitaria de acuerdo a las actividades que desarrollan los operadores de la pesca artesanal.</w:t>
      </w:r>
    </w:p>
    <w:p w:rsidR="002946B6" w:rsidRDefault="002946B6">
      <w:pPr>
        <w:spacing w:after="0" w:line="240" w:lineRule="auto"/>
        <w:jc w:val="both"/>
        <w:rPr>
          <w:rFonts w:ascii="Arial" w:eastAsia="Arial" w:hAnsi="Arial" w:cs="Arial"/>
          <w:color w:val="212121"/>
          <w:sz w:val="10"/>
          <w:szCs w:val="10"/>
        </w:rPr>
      </w:pPr>
    </w:p>
    <w:p w:rsidR="002946B6" w:rsidRDefault="002D2CA4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12121"/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 xml:space="preserve">Asimismo, en Apurímac, Callao, Lima, Ica, Huancavelica, Loreto, Junín, Madre de Dios, Moquegua, Pasco, San Martín, Arequipa, Cusco, Piura, </w:t>
      </w:r>
      <w:r w:rsidR="00625196">
        <w:rPr>
          <w:rFonts w:ascii="Arial" w:eastAsia="Arial" w:hAnsi="Arial" w:cs="Arial"/>
          <w:color w:val="212121"/>
          <w:sz w:val="20"/>
          <w:szCs w:val="20"/>
        </w:rPr>
        <w:t>Á</w:t>
      </w:r>
      <w:r>
        <w:rPr>
          <w:rFonts w:ascii="Arial" w:eastAsia="Arial" w:hAnsi="Arial" w:cs="Arial"/>
          <w:color w:val="212121"/>
          <w:sz w:val="20"/>
          <w:szCs w:val="20"/>
        </w:rPr>
        <w:t>ncash, Ucayali y Puno, se realizarán las actividades de capacitación en temas referidos a la normativa sanitaria aplicable a las actividades de acuicultura, abordando las buenas prácticas acuícolas y la importancia de la trazabilidad en sus actividades.</w:t>
      </w:r>
    </w:p>
    <w:p w:rsidR="002946B6" w:rsidRDefault="002946B6">
      <w:pPr>
        <w:spacing w:after="0" w:line="240" w:lineRule="auto"/>
        <w:jc w:val="both"/>
        <w:rPr>
          <w:rFonts w:ascii="Arial" w:eastAsia="Arial" w:hAnsi="Arial" w:cs="Arial"/>
          <w:color w:val="212121"/>
          <w:sz w:val="10"/>
          <w:szCs w:val="10"/>
        </w:rPr>
      </w:pPr>
    </w:p>
    <w:p w:rsidR="002946B6" w:rsidRDefault="002D2CA4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12121"/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 xml:space="preserve">Y en lo referido a las capacitaciones dedicadas a los comerciantes, transportistas, entidades del estado, entre otros, estas se desarrollarán en Tumbes, Piura, </w:t>
      </w:r>
      <w:r w:rsidR="00625196">
        <w:rPr>
          <w:rFonts w:ascii="Arial" w:eastAsia="Arial" w:hAnsi="Arial" w:cs="Arial"/>
          <w:color w:val="212121"/>
          <w:sz w:val="20"/>
          <w:szCs w:val="20"/>
        </w:rPr>
        <w:t>Á</w:t>
      </w:r>
      <w:r>
        <w:rPr>
          <w:rFonts w:ascii="Arial" w:eastAsia="Arial" w:hAnsi="Arial" w:cs="Arial"/>
          <w:color w:val="212121"/>
          <w:sz w:val="20"/>
          <w:szCs w:val="20"/>
        </w:rPr>
        <w:t>ncash, Lima, Ica, Arequipa, Moquegua, Junín, Puno y Loreto, tratando la importancia de la inocuidad y trazabilidad en sus actividades, buenas prácticas, normativa sanitaria, entre otras.</w:t>
      </w:r>
    </w:p>
    <w:p w:rsidR="002946B6" w:rsidRDefault="002946B6">
      <w:pPr>
        <w:spacing w:after="0" w:line="240" w:lineRule="auto"/>
        <w:jc w:val="both"/>
        <w:rPr>
          <w:rFonts w:ascii="Arial" w:eastAsia="Arial" w:hAnsi="Arial" w:cs="Arial"/>
          <w:color w:val="212121"/>
          <w:sz w:val="10"/>
          <w:szCs w:val="10"/>
        </w:rPr>
      </w:pPr>
    </w:p>
    <w:p w:rsidR="002946B6" w:rsidRDefault="002D2C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143" w:hanging="2"/>
        <w:jc w:val="both"/>
        <w:rPr>
          <w:rFonts w:ascii="Arial" w:eastAsia="Arial" w:hAnsi="Arial" w:cs="Arial"/>
          <w:color w:val="212121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Finalmente, se debe indicar qu</w:t>
      </w:r>
      <w:r>
        <w:rPr>
          <w:rFonts w:ascii="Arial" w:eastAsia="Arial" w:hAnsi="Arial" w:cs="Arial"/>
          <w:sz w:val="20"/>
          <w:szCs w:val="20"/>
        </w:rPr>
        <w:t>e 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el año 2022</w:t>
      </w:r>
      <w:r>
        <w:rPr>
          <w:rFonts w:ascii="Arial" w:eastAsia="Arial" w:hAnsi="Arial" w:cs="Arial"/>
          <w:sz w:val="20"/>
          <w:szCs w:val="20"/>
        </w:rPr>
        <w:t>, fueron capacitados 9348 beneficiarios ligados a las actividades de la cadena productiva pesquera y acuícola</w:t>
      </w:r>
      <w:r w:rsidR="008B2E48">
        <w:rPr>
          <w:rFonts w:ascii="Arial" w:eastAsia="Arial" w:hAnsi="Arial" w:cs="Arial"/>
          <w:sz w:val="20"/>
          <w:szCs w:val="20"/>
        </w:rPr>
        <w:t>; d</w:t>
      </w:r>
      <w:r>
        <w:rPr>
          <w:rFonts w:ascii="Arial" w:eastAsia="Arial" w:hAnsi="Arial" w:cs="Arial"/>
          <w:sz w:val="20"/>
          <w:szCs w:val="20"/>
        </w:rPr>
        <w:t>esarrollándose 186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eventos de capacitación, 116 bajo modalidad presencial y 70 en forma </w:t>
      </w:r>
      <w:r>
        <w:rPr>
          <w:rFonts w:ascii="Arial" w:eastAsia="Arial" w:hAnsi="Arial" w:cs="Arial"/>
          <w:sz w:val="20"/>
          <w:szCs w:val="20"/>
        </w:rPr>
        <w:t>virtual.</w:t>
      </w:r>
      <w:bookmarkStart w:id="1" w:name="_GoBack"/>
      <w:bookmarkEnd w:id="1"/>
    </w:p>
    <w:p w:rsidR="001642C7" w:rsidRDefault="001642C7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12121"/>
        </w:rPr>
      </w:pPr>
    </w:p>
    <w:p w:rsidR="002946B6" w:rsidRDefault="002D2CA4">
      <w:pPr>
        <w:spacing w:after="0" w:line="240" w:lineRule="auto"/>
        <w:ind w:left="0" w:hanging="2"/>
        <w:jc w:val="both"/>
      </w:pPr>
      <w:r>
        <w:rPr>
          <w:rFonts w:ascii="Arial" w:eastAsia="Arial" w:hAnsi="Arial" w:cs="Arial"/>
          <w:color w:val="212121"/>
        </w:rPr>
        <w:t>Agradecemos su difusión.</w:t>
      </w:r>
    </w:p>
    <w:sectPr w:rsidR="002946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5" w:right="1701" w:bottom="1417" w:left="1701" w:header="567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EFE" w:rsidRDefault="00EA2EF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A2EFE" w:rsidRDefault="00EA2EF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6B6" w:rsidRDefault="002946B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6B6" w:rsidRDefault="002D2CA4">
    <w:pPr>
      <w:tabs>
        <w:tab w:val="left" w:pos="-284"/>
      </w:tabs>
      <w:spacing w:after="0" w:line="360" w:lineRule="auto"/>
      <w:ind w:left="0" w:right="-568" w:hanging="2"/>
      <w:jc w:val="both"/>
      <w:rPr>
        <w:sz w:val="14"/>
        <w:szCs w:val="14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-504400</wp:posOffset>
          </wp:positionH>
          <wp:positionV relativeFrom="paragraph">
            <wp:posOffset>148026</wp:posOffset>
          </wp:positionV>
          <wp:extent cx="1528153" cy="656539"/>
          <wp:effectExtent l="0" t="0" r="0" b="0"/>
          <wp:wrapNone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8153" cy="656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946B6" w:rsidRDefault="002D2CA4">
    <w:pPr>
      <w:ind w:left="0" w:hanging="2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4902975</wp:posOffset>
          </wp:positionH>
          <wp:positionV relativeFrom="paragraph">
            <wp:posOffset>21096</wp:posOffset>
          </wp:positionV>
          <wp:extent cx="1066645" cy="643198"/>
          <wp:effectExtent l="0" t="0" r="0" b="0"/>
          <wp:wrapNone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645" cy="6431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946B6" w:rsidRDefault="002D2CA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Ca. Amador Merino Reyna 267 Piso 12 San Isidro - Lima</w:t>
    </w:r>
  </w:p>
  <w:p w:rsidR="002946B6" w:rsidRDefault="002D2CA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Av. Carretera a Ventanilla km 5.2 - Callao</w:t>
    </w:r>
    <w:r>
      <w:rPr>
        <w:rFonts w:ascii="Arial" w:eastAsia="Arial" w:hAnsi="Arial" w:cs="Arial"/>
        <w:color w:val="000000"/>
        <w:sz w:val="14"/>
        <w:szCs w:val="14"/>
      </w:rPr>
      <w:br/>
      <w:t>www.gob.pe/sanipes</w:t>
    </w:r>
  </w:p>
  <w:p w:rsidR="002946B6" w:rsidRDefault="002946B6">
    <w:pPr>
      <w:tabs>
        <w:tab w:val="left" w:pos="-284"/>
      </w:tabs>
      <w:spacing w:after="0" w:line="360" w:lineRule="auto"/>
      <w:ind w:right="-568"/>
      <w:jc w:val="both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6B6" w:rsidRDefault="002946B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EFE" w:rsidRDefault="00EA2EF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A2EFE" w:rsidRDefault="00EA2EF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6B6" w:rsidRDefault="002946B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6B6" w:rsidRDefault="002D2CA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-594712</wp:posOffset>
          </wp:positionH>
          <wp:positionV relativeFrom="paragraph">
            <wp:posOffset>12488</wp:posOffset>
          </wp:positionV>
          <wp:extent cx="2104712" cy="418679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4712" cy="4186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4406265</wp:posOffset>
          </wp:positionH>
          <wp:positionV relativeFrom="paragraph">
            <wp:posOffset>12488</wp:posOffset>
          </wp:positionV>
          <wp:extent cx="1538824" cy="486272"/>
          <wp:effectExtent l="0" t="0" r="0" b="0"/>
          <wp:wrapNone/>
          <wp:docPr id="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8824" cy="4862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946B6" w:rsidRDefault="002946B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2946B6" w:rsidRDefault="002946B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2946B6" w:rsidRDefault="002946B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0"/>
        <w:szCs w:val="10"/>
      </w:rPr>
    </w:pPr>
  </w:p>
  <w:p w:rsidR="002946B6" w:rsidRDefault="002D2CA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“Decenio de la Igualdad de Oportunidades para Mujeres y Hombres”</w:t>
    </w:r>
  </w:p>
  <w:p w:rsidR="002946B6" w:rsidRDefault="002D2CA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sz w:val="14"/>
        <w:szCs w:val="14"/>
        <w:highlight w:val="white"/>
      </w:rPr>
      <w:t>“Año de la unidad, la paz y el desarrollo”</w:t>
    </w:r>
  </w:p>
  <w:p w:rsidR="002946B6" w:rsidRDefault="002946B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6B6" w:rsidRDefault="002946B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B6"/>
    <w:rsid w:val="001642C7"/>
    <w:rsid w:val="00192735"/>
    <w:rsid w:val="002946B6"/>
    <w:rsid w:val="002D2CA4"/>
    <w:rsid w:val="002E6EB6"/>
    <w:rsid w:val="00625196"/>
    <w:rsid w:val="00661689"/>
    <w:rsid w:val="0073092F"/>
    <w:rsid w:val="008B2E48"/>
    <w:rsid w:val="00AD0495"/>
    <w:rsid w:val="00DE2759"/>
    <w:rsid w:val="00E74822"/>
    <w:rsid w:val="00EA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65EAE"/>
  <w15:docId w15:val="{7AEE89CF-D22F-7D41-9F29-009F8590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ES_tradn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uiPriority w:val="99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Cuadrculaclara-nfasis31">
    <w:name w:val="Cuadrícula clara - Énfasis 31"/>
    <w:aliases w:val="Titulo de Fígura,TITULO A,Cuadro 2-1,Fundamentacion,Bulleted List,Lista vistosa - Énfasis 11,Párrafo de lista2,Titulo parrafo,Punto,3,Iz - Párrafo de lista,Sivsa Parrafo,Footnote,List Paragraph1,Lista 123,Number List 1"/>
    <w:basedOn w:val="Normal"/>
    <w:pPr>
      <w:ind w:left="720"/>
      <w:contextualSpacing/>
    </w:pPr>
  </w:style>
  <w:style w:type="paragraph" w:styleId="Textoindependiente">
    <w:name w:val="Body Text"/>
    <w:basedOn w:val="Normal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rPr>
      <w:rFonts w:ascii="Arial MT" w:eastAsia="Arial MT" w:hAnsi="Arial MT" w:cs="Arial MT"/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customStyle="1" w:styleId="Ttulo11">
    <w:name w:val="Título 11"/>
    <w:basedOn w:val="Normal"/>
    <w:pPr>
      <w:widowControl w:val="0"/>
      <w:autoSpaceDE w:val="0"/>
      <w:autoSpaceDN w:val="0"/>
      <w:spacing w:after="0" w:line="240" w:lineRule="auto"/>
      <w:outlineLvl w:val="1"/>
    </w:pPr>
    <w:rPr>
      <w:rFonts w:ascii="Arial" w:eastAsia="Arial" w:hAnsi="Arial" w:cs="Arial"/>
      <w:b/>
      <w:bCs/>
      <w:lang w:val="es-ES"/>
    </w:rPr>
  </w:style>
  <w:style w:type="paragraph" w:customStyle="1" w:styleId="Normal1">
    <w:name w:val="Normal1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Ttulo12">
    <w:name w:val="Título 12"/>
    <w:basedOn w:val="Normal"/>
    <w:pPr>
      <w:widowControl w:val="0"/>
      <w:autoSpaceDE w:val="0"/>
      <w:autoSpaceDN w:val="0"/>
      <w:spacing w:after="0" w:line="240" w:lineRule="auto"/>
      <w:outlineLvl w:val="1"/>
    </w:pPr>
    <w:rPr>
      <w:rFonts w:ascii="Arial" w:eastAsia="Arial" w:hAnsi="Arial" w:cs="Arial"/>
      <w:b/>
      <w:bCs/>
      <w:lang w:val="es-ES"/>
    </w:rPr>
  </w:style>
  <w:style w:type="paragraph" w:customStyle="1" w:styleId="Normal2">
    <w:name w:val="Normal2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table" w:customStyle="1" w:styleId="TableNormal4">
    <w:name w:val="Table Normal"/>
    <w:next w:val="TableNormal3"/>
    <w:qFormat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Cuadrculaclara-nfasis3Car">
    <w:name w:val="Cuadrícula clara - Énfasis 3 Car"/>
    <w:aliases w:val="Titulo de Fígura Car,TITULO A Car,Cuadro 2-1 Car,Fundamentacion Car,Bulleted List Car,Lista vistosa - Énfasis 11 Car,Párrafo de lista2 Car,Titulo parrafo Car,Punto Car,3 Car,Iz - Párrafo de lista Car,Sivsa Parrafo Ca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Calibri" w:hAnsi="Calibri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Cuadrculamedia2-nfasis11">
    <w:name w:val="Cuadrícula media 2 - Énfasis 1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s-PE"/>
    </w:rPr>
  </w:style>
  <w:style w:type="paragraph" w:customStyle="1" w:styleId="Cuadrculamedia1-nfasis21">
    <w:name w:val="Cuadrícula media 1 - Énfasis 21"/>
    <w:aliases w:val="Bullet 1,titulo"/>
    <w:basedOn w:val="Normal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Cuadrculaclara-nfasis310">
    <w:name w:val="Cuadrícula clara - Énfasis 31"/>
    <w:basedOn w:val="Normal"/>
    <w:pPr>
      <w:ind w:left="720"/>
      <w:contextualSpacing/>
    </w:pPr>
    <w:rPr>
      <w:lang w:eastAsia="ja-JP"/>
    </w:rPr>
  </w:style>
  <w:style w:type="paragraph" w:customStyle="1" w:styleId="Cuadrculamedia21">
    <w:name w:val="Cuadrícula media 2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es-ES" w:eastAsia="es-ES"/>
    </w:rPr>
  </w:style>
  <w:style w:type="character" w:customStyle="1" w:styleId="Cuadrculamedia2Car">
    <w:name w:val="Cuadrícula media 2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customStyle="1" w:styleId="Prrafodelista1">
    <w:name w:val="Párrafo de lista1"/>
    <w:aliases w:val="Colorful List Accent 1,Ha,SUBTITU MEMO,Viñeta normal,Tipo2,List Paragraph-Thesis,paul2"/>
    <w:basedOn w:val="Normal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" w:eastAsia="es-ES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arkzzkuas3gt">
    <w:name w:val="markzzkuas3gt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174B23"/>
    <w:pPr>
      <w:ind w:left="720"/>
      <w:contextualSpacing/>
    </w:pPr>
  </w:style>
  <w:style w:type="paragraph" w:styleId="Sinespaciado">
    <w:name w:val="No Spacing"/>
    <w:uiPriority w:val="1"/>
    <w:qFormat/>
    <w:rsid w:val="00691135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dpIC8O4v8fLUmbWK6s5uQOl1WA==">AMUW2mWMVKiaU9nDW+oYdsN9nj7M1gqJrUmqMrflG7QEKb6q88AbzniJI5m5sccYl6ihmKMKmV9BahvyHr/z/nj+o0+qine98kFo4v95J6UOTNdcimblLXuG6MLkc7jmpVzRJc4I/xat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Usuario de Microsoft Office</cp:lastModifiedBy>
  <cp:revision>9</cp:revision>
  <dcterms:created xsi:type="dcterms:W3CDTF">2023-03-09T13:55:00Z</dcterms:created>
  <dcterms:modified xsi:type="dcterms:W3CDTF">2023-03-16T17:54:00Z</dcterms:modified>
</cp:coreProperties>
</file>