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7D" w:rsidRPr="004D521F" w:rsidRDefault="00095A7D" w:rsidP="004A535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A5351" w:rsidRDefault="00993F5D" w:rsidP="004D521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521F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4137AA" w:rsidRPr="004137AA" w:rsidRDefault="004137AA" w:rsidP="004D521F">
      <w:pPr>
        <w:pStyle w:val="Sinespaciad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65BB1" w:rsidRPr="00865BB1" w:rsidRDefault="00865BB1" w:rsidP="00865BB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65BB1">
        <w:rPr>
          <w:rFonts w:ascii="Arial" w:hAnsi="Arial" w:cs="Arial"/>
          <w:sz w:val="24"/>
          <w:szCs w:val="24"/>
        </w:rPr>
        <w:t>Avances de la gestión en los 120 días de Gobierno</w:t>
      </w:r>
    </w:p>
    <w:p w:rsidR="00A67EE7" w:rsidRPr="00A67EE7" w:rsidRDefault="00A67EE7" w:rsidP="00A67E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67EE7" w:rsidRPr="00A67EE7" w:rsidRDefault="00A67EE7" w:rsidP="00A67EE7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A67EE7">
        <w:rPr>
          <w:rFonts w:ascii="Arial" w:hAnsi="Arial" w:cs="Arial"/>
          <w:b/>
          <w:sz w:val="30"/>
          <w:szCs w:val="30"/>
        </w:rPr>
        <w:t>Produce</w:t>
      </w:r>
      <w:r w:rsidR="009A3A06">
        <w:rPr>
          <w:rFonts w:ascii="Arial" w:hAnsi="Arial" w:cs="Arial"/>
          <w:b/>
          <w:sz w:val="30"/>
          <w:szCs w:val="30"/>
        </w:rPr>
        <w:t xml:space="preserve"> impulsó</w:t>
      </w:r>
      <w:r w:rsidR="00EF2BE6">
        <w:rPr>
          <w:rFonts w:ascii="Arial" w:hAnsi="Arial" w:cs="Arial"/>
          <w:b/>
          <w:sz w:val="30"/>
          <w:szCs w:val="30"/>
        </w:rPr>
        <w:t xml:space="preserve"> la</w:t>
      </w:r>
      <w:r w:rsidR="009A3A06">
        <w:rPr>
          <w:rFonts w:ascii="Arial" w:hAnsi="Arial" w:cs="Arial"/>
          <w:b/>
          <w:sz w:val="30"/>
          <w:szCs w:val="30"/>
        </w:rPr>
        <w:t xml:space="preserve"> entrega de</w:t>
      </w:r>
      <w:r w:rsidR="00EF2BE6">
        <w:rPr>
          <w:rFonts w:ascii="Arial" w:hAnsi="Arial" w:cs="Arial"/>
          <w:b/>
          <w:sz w:val="30"/>
          <w:szCs w:val="30"/>
        </w:rPr>
        <w:t>l</w:t>
      </w:r>
      <w:r w:rsidR="009A3A06">
        <w:rPr>
          <w:rFonts w:ascii="Arial" w:hAnsi="Arial" w:cs="Arial"/>
          <w:b/>
          <w:sz w:val="30"/>
          <w:szCs w:val="30"/>
        </w:rPr>
        <w:t xml:space="preserve"> bono para pescadores</w:t>
      </w:r>
      <w:r w:rsidR="00454220">
        <w:rPr>
          <w:rFonts w:ascii="Arial" w:hAnsi="Arial" w:cs="Arial"/>
          <w:b/>
          <w:sz w:val="30"/>
          <w:szCs w:val="30"/>
        </w:rPr>
        <w:t xml:space="preserve"> artesanales</w:t>
      </w:r>
      <w:r w:rsidR="009A3A06">
        <w:rPr>
          <w:rFonts w:ascii="Arial" w:hAnsi="Arial" w:cs="Arial"/>
          <w:b/>
          <w:sz w:val="30"/>
          <w:szCs w:val="30"/>
        </w:rPr>
        <w:t xml:space="preserve"> y</w:t>
      </w:r>
      <w:r w:rsidR="00EF2BE6">
        <w:rPr>
          <w:rFonts w:ascii="Arial" w:hAnsi="Arial" w:cs="Arial"/>
          <w:b/>
          <w:sz w:val="30"/>
          <w:szCs w:val="30"/>
        </w:rPr>
        <w:t xml:space="preserve"> gestionó</w:t>
      </w:r>
      <w:r w:rsidR="009A3A06">
        <w:rPr>
          <w:rFonts w:ascii="Arial" w:hAnsi="Arial" w:cs="Arial"/>
          <w:b/>
          <w:sz w:val="30"/>
          <w:szCs w:val="30"/>
        </w:rPr>
        <w:t xml:space="preserve"> mayores recursos para las MYPE</w:t>
      </w:r>
    </w:p>
    <w:p w:rsidR="00865BB1" w:rsidRDefault="00865BB1" w:rsidP="00EF2BE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55AC6" w:rsidRDefault="00865BB1" w:rsidP="00865BB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65BB1">
        <w:rPr>
          <w:rFonts w:ascii="Arial" w:hAnsi="Arial" w:cs="Arial"/>
          <w:sz w:val="24"/>
          <w:szCs w:val="24"/>
        </w:rPr>
        <w:t>El titular del sector, Raúl Pérez Reyes, destacó que, en dicho período de Gobierno, se incrementaron las acciones para fomentar el consumo de pescado en la población de menores recursos.</w:t>
      </w:r>
    </w:p>
    <w:p w:rsidR="00865BB1" w:rsidRDefault="00865BB1" w:rsidP="00865BB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precisó que se evaluará la entrega de un bono para pescadores industriales, con un monto por determinar.</w:t>
      </w:r>
    </w:p>
    <w:p w:rsidR="00A34D46" w:rsidRDefault="00A34D46" w:rsidP="00865B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El ministro de la Producción, Raúl Pérez Reyes, informó hoy que, en los últimos 120 días, la cartera que dirige tuvo importantes avances en beneficio de las MYPE y el subsector Pesca y Acuicultura.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 xml:space="preserve">Durante la presentación de los avances de gestión del gobierno de la presidenta de la República, Dina </w:t>
      </w:r>
      <w:proofErr w:type="spellStart"/>
      <w:r w:rsidRPr="00BD672A">
        <w:rPr>
          <w:rFonts w:ascii="Arial" w:hAnsi="Arial" w:cs="Arial"/>
          <w:sz w:val="24"/>
          <w:szCs w:val="24"/>
        </w:rPr>
        <w:t>Boluarte</w:t>
      </w:r>
      <w:proofErr w:type="spellEnd"/>
      <w:r w:rsidRPr="00BD672A">
        <w:rPr>
          <w:rFonts w:ascii="Arial" w:hAnsi="Arial" w:cs="Arial"/>
          <w:sz w:val="24"/>
          <w:szCs w:val="24"/>
        </w:rPr>
        <w:t xml:space="preserve">, el titular de Produce destacó la entrega del “Bono del pescador artesanal” de S/500, cuyo avance a la fecha alcanza el 88% de un total de 35 000 pescadores artesanales que accederán a este beneficio. Es así que hasta ayer se hicieron efectivos cerca de 29 mil bonos por un total de S/ 14 millones 420 500. 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“El cobro del bono es hasta el 30 de abril y tenemos un importante avance. Este dinero es útil como apoyo económico de los pescadores artesanales formales que se ha visto afectados por distintos factores”, aseveró.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 xml:space="preserve">Añadió que se está evaluando un segundo grupo de pescadores, al cual también se le entregaría un bono. “Estamos trabajando en un censo que permita determinar a quienes hacen pesca industrial; a ellos se les entregaría un bono mucho menor”, indicó. 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D672A">
        <w:rPr>
          <w:rFonts w:ascii="Arial" w:hAnsi="Arial" w:cs="Arial"/>
          <w:b/>
          <w:sz w:val="24"/>
          <w:szCs w:val="24"/>
        </w:rPr>
        <w:t>Se beneficiará a 10 mil empresas MIPYME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De igual manera, el ministro Pérez Reyes destacó la asignación de recursos por S/ 150 millones, establecidos en la Ley 31638 a favor del Fondo MIPYME Emprendedor, los cuales serán destinados a distintos programas de Produce para beneficiar a 10 mil empresas del sector MIPYME.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“Los recursos serán administrados por COFIDE y los programas, que tendrán una duración de entre 6 a 24 meses, serán asignados por PROINNOVATE, como fondos concursables con un cofinanciamiento no reembolsable de hasta el 75%. Los montos oscilan entre S/ 5000 hasta S/ 130 000 por empresa”, añadió.</w:t>
      </w:r>
    </w:p>
    <w:p w:rsid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 xml:space="preserve">Pérez Reyes dijo que el fondo dará énfasis en 11 cadenas productivas. Esta priorización se dará en los sectores del café y cacao, textil-confecciones, cuero y calzado, entre otros. 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D672A">
        <w:rPr>
          <w:rFonts w:ascii="Arial" w:hAnsi="Arial" w:cs="Arial"/>
          <w:b/>
          <w:sz w:val="24"/>
          <w:szCs w:val="24"/>
        </w:rPr>
        <w:t>Impulso para “A Comer Pescado”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El titular de Produce también indicó que, en los primeros cuatro meses de esta gestión de gobierno, se incrementaron las acciones del Programa Nacional A Comer Pescado, con el objetivo de fomentar el consumo de pescado en la población de menores recursos.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Precisó que, a través de las ferias Mi Pescadería, en lo que va del año se ha colocado cerca de 2 millones de kilos de pescado a precios de promoción, casi el 80% de los 2.6 millones de kilos de todo el 2022.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D672A">
        <w:rPr>
          <w:rFonts w:ascii="Arial" w:hAnsi="Arial" w:cs="Arial"/>
          <w:sz w:val="24"/>
          <w:szCs w:val="24"/>
        </w:rPr>
        <w:t>“Estamos esperando una ampliación presupuestal para triplicar a fin de año la colocación de pescado en 6 millones. El propósito es ayudar a reducir los problemas de alimentación en el país y resolver el problema de la seguridad alimentaria”, finalizó.</w:t>
      </w: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72A" w:rsidRPr="00BD672A" w:rsidRDefault="00BD672A" w:rsidP="00BD6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5BB1" w:rsidRDefault="00A34D46" w:rsidP="00865BB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5BB1" w:rsidRPr="00865BB1">
        <w:rPr>
          <w:rFonts w:ascii="Arial" w:hAnsi="Arial" w:cs="Arial"/>
          <w:b/>
          <w:sz w:val="24"/>
          <w:szCs w:val="24"/>
        </w:rPr>
        <w:t>Lima, 12 de abril del 2023</w:t>
      </w:r>
    </w:p>
    <w:p w:rsidR="00865BB1" w:rsidRDefault="00865BB1" w:rsidP="00865BB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sectPr w:rsidR="00865BB1" w:rsidSect="00AC7C8D">
      <w:headerReference w:type="default" r:id="rId7"/>
      <w:footerReference w:type="default" r:id="rId8"/>
      <w:pgSz w:w="11906" w:h="16838"/>
      <w:pgMar w:top="1417" w:right="1701" w:bottom="1276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05" w:rsidRDefault="004D2705" w:rsidP="00AC7C8D">
      <w:pPr>
        <w:spacing w:after="0" w:line="240" w:lineRule="auto"/>
      </w:pPr>
      <w:r>
        <w:separator/>
      </w:r>
    </w:p>
  </w:endnote>
  <w:endnote w:type="continuationSeparator" w:id="0">
    <w:p w:rsidR="004D2705" w:rsidRDefault="004D2705" w:rsidP="00A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D" w:rsidRDefault="00AC7C8D">
    <w:pPr>
      <w:pStyle w:val="Piedepgina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-892810</wp:posOffset>
          </wp:positionV>
          <wp:extent cx="7123430" cy="1179195"/>
          <wp:effectExtent l="0" t="0" r="1270" b="1905"/>
          <wp:wrapSquare wrapText="bothSides"/>
          <wp:docPr id="148" name="Imagen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" t="86372" r="954" b="363"/>
                  <a:stretch/>
                </pic:blipFill>
                <pic:spPr>
                  <a:xfrm>
                    <a:off x="0" y="0"/>
                    <a:ext cx="7123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05" w:rsidRDefault="004D2705" w:rsidP="00AC7C8D">
      <w:pPr>
        <w:spacing w:after="0" w:line="240" w:lineRule="auto"/>
      </w:pPr>
      <w:r>
        <w:separator/>
      </w:r>
    </w:p>
  </w:footnote>
  <w:footnote w:type="continuationSeparator" w:id="0">
    <w:p w:rsidR="004D2705" w:rsidRDefault="004D2705" w:rsidP="00AC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D" w:rsidRDefault="00AC7C8D">
    <w:pPr>
      <w:pStyle w:val="Encabezado"/>
    </w:pPr>
    <w:r w:rsidRPr="00AC7C8D"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-62609</wp:posOffset>
          </wp:positionV>
          <wp:extent cx="2447925" cy="685800"/>
          <wp:effectExtent l="0" t="0" r="9525" b="0"/>
          <wp:wrapSquare wrapText="bothSides"/>
          <wp:docPr id="147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" t="2188" r="54566" b="90603"/>
                  <a:stretch/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E9C"/>
    <w:multiLevelType w:val="hybridMultilevel"/>
    <w:tmpl w:val="1548AD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3397"/>
    <w:multiLevelType w:val="hybridMultilevel"/>
    <w:tmpl w:val="E1EA8EC2"/>
    <w:lvl w:ilvl="0" w:tplc="825A2DE0">
      <w:start w:val="3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60A55"/>
    <w:multiLevelType w:val="hybridMultilevel"/>
    <w:tmpl w:val="92625E4A"/>
    <w:lvl w:ilvl="0" w:tplc="280A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201C1075"/>
    <w:multiLevelType w:val="hybridMultilevel"/>
    <w:tmpl w:val="1A86CE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CB3"/>
    <w:multiLevelType w:val="hybridMultilevel"/>
    <w:tmpl w:val="818081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259"/>
    <w:multiLevelType w:val="hybridMultilevel"/>
    <w:tmpl w:val="C19AC0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C38"/>
    <w:multiLevelType w:val="hybridMultilevel"/>
    <w:tmpl w:val="CEEA64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5D80"/>
    <w:multiLevelType w:val="hybridMultilevel"/>
    <w:tmpl w:val="A27C09C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672D"/>
    <w:multiLevelType w:val="hybridMultilevel"/>
    <w:tmpl w:val="E5E040B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15E0"/>
    <w:multiLevelType w:val="hybridMultilevel"/>
    <w:tmpl w:val="AEA8DC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00042"/>
    <w:multiLevelType w:val="hybridMultilevel"/>
    <w:tmpl w:val="43EE52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34CA"/>
    <w:multiLevelType w:val="hybridMultilevel"/>
    <w:tmpl w:val="ABAA1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3B3A"/>
    <w:multiLevelType w:val="hybridMultilevel"/>
    <w:tmpl w:val="C25CB44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216A"/>
    <w:multiLevelType w:val="hybridMultilevel"/>
    <w:tmpl w:val="1F5EA1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A3C"/>
    <w:multiLevelType w:val="hybridMultilevel"/>
    <w:tmpl w:val="82A21D24"/>
    <w:lvl w:ilvl="0" w:tplc="25407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48C2"/>
    <w:multiLevelType w:val="hybridMultilevel"/>
    <w:tmpl w:val="BE00A20E"/>
    <w:lvl w:ilvl="0" w:tplc="558EB3F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4E41"/>
    <w:multiLevelType w:val="hybridMultilevel"/>
    <w:tmpl w:val="92EE5B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15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D"/>
    <w:rsid w:val="00010417"/>
    <w:rsid w:val="00070B72"/>
    <w:rsid w:val="000729D5"/>
    <w:rsid w:val="00091427"/>
    <w:rsid w:val="00092FB0"/>
    <w:rsid w:val="000932C3"/>
    <w:rsid w:val="00095A7D"/>
    <w:rsid w:val="000C35FF"/>
    <w:rsid w:val="000D47D1"/>
    <w:rsid w:val="001117BE"/>
    <w:rsid w:val="00177D54"/>
    <w:rsid w:val="001869BB"/>
    <w:rsid w:val="00186C02"/>
    <w:rsid w:val="001C2EE4"/>
    <w:rsid w:val="001E1CDD"/>
    <w:rsid w:val="002156EE"/>
    <w:rsid w:val="0022117A"/>
    <w:rsid w:val="0027587F"/>
    <w:rsid w:val="00281B7B"/>
    <w:rsid w:val="002B507B"/>
    <w:rsid w:val="00311E94"/>
    <w:rsid w:val="00320F36"/>
    <w:rsid w:val="00327739"/>
    <w:rsid w:val="003379BE"/>
    <w:rsid w:val="00356B19"/>
    <w:rsid w:val="00363B6C"/>
    <w:rsid w:val="00363EC6"/>
    <w:rsid w:val="0038699A"/>
    <w:rsid w:val="003B413D"/>
    <w:rsid w:val="003F1998"/>
    <w:rsid w:val="003F1E68"/>
    <w:rsid w:val="004001A3"/>
    <w:rsid w:val="00411CF2"/>
    <w:rsid w:val="004137AA"/>
    <w:rsid w:val="00426574"/>
    <w:rsid w:val="004370DF"/>
    <w:rsid w:val="004436E7"/>
    <w:rsid w:val="00445124"/>
    <w:rsid w:val="00451F7E"/>
    <w:rsid w:val="00454220"/>
    <w:rsid w:val="004619CD"/>
    <w:rsid w:val="00462A8B"/>
    <w:rsid w:val="00475F69"/>
    <w:rsid w:val="004828B8"/>
    <w:rsid w:val="004A2037"/>
    <w:rsid w:val="004A5351"/>
    <w:rsid w:val="004A7C8C"/>
    <w:rsid w:val="004B60C7"/>
    <w:rsid w:val="004D2705"/>
    <w:rsid w:val="004D521F"/>
    <w:rsid w:val="004E6478"/>
    <w:rsid w:val="00516A6E"/>
    <w:rsid w:val="00544438"/>
    <w:rsid w:val="00566883"/>
    <w:rsid w:val="0058395F"/>
    <w:rsid w:val="005A3DE1"/>
    <w:rsid w:val="005E4148"/>
    <w:rsid w:val="005F2C9B"/>
    <w:rsid w:val="0061303B"/>
    <w:rsid w:val="00630A5A"/>
    <w:rsid w:val="00636DF5"/>
    <w:rsid w:val="00701791"/>
    <w:rsid w:val="00724002"/>
    <w:rsid w:val="00724D26"/>
    <w:rsid w:val="00775F17"/>
    <w:rsid w:val="007D7EA3"/>
    <w:rsid w:val="007F43D0"/>
    <w:rsid w:val="00814FE1"/>
    <w:rsid w:val="008548C5"/>
    <w:rsid w:val="00865BB1"/>
    <w:rsid w:val="008A5834"/>
    <w:rsid w:val="00907FDE"/>
    <w:rsid w:val="009258EE"/>
    <w:rsid w:val="0096405F"/>
    <w:rsid w:val="00970499"/>
    <w:rsid w:val="00993F5D"/>
    <w:rsid w:val="009A3A06"/>
    <w:rsid w:val="009E660E"/>
    <w:rsid w:val="00A00C54"/>
    <w:rsid w:val="00A1185B"/>
    <w:rsid w:val="00A34D46"/>
    <w:rsid w:val="00A67EE7"/>
    <w:rsid w:val="00A70371"/>
    <w:rsid w:val="00A75955"/>
    <w:rsid w:val="00AB275B"/>
    <w:rsid w:val="00AC21F4"/>
    <w:rsid w:val="00AC7C8D"/>
    <w:rsid w:val="00AD70C6"/>
    <w:rsid w:val="00B018CE"/>
    <w:rsid w:val="00B4579E"/>
    <w:rsid w:val="00B472C3"/>
    <w:rsid w:val="00B531AB"/>
    <w:rsid w:val="00B92095"/>
    <w:rsid w:val="00BD672A"/>
    <w:rsid w:val="00BE67E7"/>
    <w:rsid w:val="00C14C67"/>
    <w:rsid w:val="00C23EF2"/>
    <w:rsid w:val="00C455A6"/>
    <w:rsid w:val="00C73371"/>
    <w:rsid w:val="00C90A2D"/>
    <w:rsid w:val="00CC2071"/>
    <w:rsid w:val="00D00585"/>
    <w:rsid w:val="00D033A0"/>
    <w:rsid w:val="00D22A17"/>
    <w:rsid w:val="00D2369F"/>
    <w:rsid w:val="00D26580"/>
    <w:rsid w:val="00D55AC6"/>
    <w:rsid w:val="00D65F26"/>
    <w:rsid w:val="00DA4888"/>
    <w:rsid w:val="00DA63C4"/>
    <w:rsid w:val="00DB124B"/>
    <w:rsid w:val="00DC3BB8"/>
    <w:rsid w:val="00DF62A6"/>
    <w:rsid w:val="00E13F31"/>
    <w:rsid w:val="00E211C5"/>
    <w:rsid w:val="00E34C54"/>
    <w:rsid w:val="00E85927"/>
    <w:rsid w:val="00EF2BE6"/>
    <w:rsid w:val="00EF3265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45606"/>
  <w15:chartTrackingRefBased/>
  <w15:docId w15:val="{3EC1A584-48B1-4908-8A3F-39724AB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8D"/>
  </w:style>
  <w:style w:type="paragraph" w:styleId="Piedepgina">
    <w:name w:val="footer"/>
    <w:basedOn w:val="Normal"/>
    <w:link w:val="Piedepgina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8D"/>
  </w:style>
  <w:style w:type="paragraph" w:styleId="Prrafodelista">
    <w:name w:val="List Paragraph"/>
    <w:basedOn w:val="Normal"/>
    <w:uiPriority w:val="34"/>
    <w:qFormat/>
    <w:rsid w:val="00462A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A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0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E1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9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6683706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4624939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858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Abraham Taipe Ballena</cp:lastModifiedBy>
  <cp:revision>4</cp:revision>
  <cp:lastPrinted>2023-04-12T17:08:00Z</cp:lastPrinted>
  <dcterms:created xsi:type="dcterms:W3CDTF">2023-04-12T15:39:00Z</dcterms:created>
  <dcterms:modified xsi:type="dcterms:W3CDTF">2023-04-12T23:01:00Z</dcterms:modified>
</cp:coreProperties>
</file>