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4A9" w:rsidRDefault="002D44A9">
      <w:pPr>
        <w:ind w:left="0" w:hanging="2"/>
        <w:jc w:val="center"/>
        <w:rPr>
          <w:rFonts w:ascii="Arial" w:eastAsia="Arial" w:hAnsi="Arial" w:cs="Arial"/>
          <w:b/>
          <w:u w:val="single"/>
        </w:rPr>
      </w:pPr>
    </w:p>
    <w:p w:rsidR="002D44A9" w:rsidRDefault="00476DEC">
      <w:pPr>
        <w:ind w:left="0" w:hanging="2"/>
        <w:jc w:val="center"/>
        <w:rPr>
          <w:rFonts w:ascii="Arial" w:eastAsia="Arial" w:hAnsi="Arial" w:cs="Arial"/>
          <w:b/>
          <w:u w:val="single"/>
        </w:rPr>
      </w:pPr>
      <w:r>
        <w:rPr>
          <w:rFonts w:ascii="Arial" w:eastAsia="Arial" w:hAnsi="Arial" w:cs="Arial"/>
          <w:b/>
          <w:u w:val="single"/>
        </w:rPr>
        <w:t>Nota de Prensa</w:t>
      </w:r>
    </w:p>
    <w:p w:rsidR="002D44A9" w:rsidRDefault="00476DEC">
      <w:pPr>
        <w:pBdr>
          <w:top w:val="nil"/>
          <w:left w:val="nil"/>
          <w:bottom w:val="nil"/>
          <w:right w:val="nil"/>
          <w:between w:val="nil"/>
        </w:pBdr>
        <w:spacing w:after="0" w:line="240" w:lineRule="auto"/>
        <w:ind w:left="1" w:hanging="3"/>
        <w:jc w:val="center"/>
        <w:rPr>
          <w:rFonts w:ascii="Arial" w:eastAsia="Arial" w:hAnsi="Arial" w:cs="Arial"/>
          <w:b/>
          <w:color w:val="000000"/>
          <w:sz w:val="34"/>
          <w:szCs w:val="34"/>
        </w:rPr>
      </w:pPr>
      <w:r>
        <w:rPr>
          <w:rFonts w:ascii="Arial" w:eastAsia="Arial" w:hAnsi="Arial" w:cs="Arial"/>
          <w:b/>
          <w:color w:val="000000"/>
          <w:sz w:val="34"/>
          <w:szCs w:val="34"/>
        </w:rPr>
        <w:t>Sanipes present</w:t>
      </w:r>
      <w:r>
        <w:rPr>
          <w:rFonts w:ascii="Arial" w:eastAsia="Arial" w:hAnsi="Arial" w:cs="Arial"/>
          <w:b/>
          <w:sz w:val="34"/>
          <w:szCs w:val="34"/>
        </w:rPr>
        <w:t>ó resultados de investigación ante</w:t>
      </w:r>
      <w:r w:rsidR="00093B05">
        <w:rPr>
          <w:rFonts w:ascii="Arial" w:eastAsia="Arial" w:hAnsi="Arial" w:cs="Arial"/>
          <w:b/>
          <w:sz w:val="34"/>
          <w:szCs w:val="34"/>
        </w:rPr>
        <w:t xml:space="preserve"> organismos mundiales </w:t>
      </w:r>
      <w:r>
        <w:rPr>
          <w:rFonts w:ascii="Arial" w:eastAsia="Arial" w:hAnsi="Arial" w:cs="Arial"/>
          <w:b/>
          <w:sz w:val="34"/>
          <w:szCs w:val="34"/>
        </w:rPr>
        <w:t xml:space="preserve">de </w:t>
      </w:r>
      <w:r w:rsidR="00093B05">
        <w:rPr>
          <w:rFonts w:ascii="Arial" w:eastAsia="Arial" w:hAnsi="Arial" w:cs="Arial"/>
          <w:b/>
          <w:sz w:val="34"/>
          <w:szCs w:val="34"/>
        </w:rPr>
        <w:t>s</w:t>
      </w:r>
      <w:r>
        <w:rPr>
          <w:rFonts w:ascii="Arial" w:eastAsia="Arial" w:hAnsi="Arial" w:cs="Arial"/>
          <w:b/>
          <w:sz w:val="34"/>
          <w:szCs w:val="34"/>
        </w:rPr>
        <w:t xml:space="preserve">anidad </w:t>
      </w:r>
      <w:r w:rsidR="00093B05">
        <w:rPr>
          <w:rFonts w:ascii="Arial" w:eastAsia="Arial" w:hAnsi="Arial" w:cs="Arial"/>
          <w:b/>
          <w:sz w:val="34"/>
          <w:szCs w:val="34"/>
        </w:rPr>
        <w:t>a</w:t>
      </w:r>
      <w:r>
        <w:rPr>
          <w:rFonts w:ascii="Arial" w:eastAsia="Arial" w:hAnsi="Arial" w:cs="Arial"/>
          <w:b/>
          <w:sz w:val="34"/>
          <w:szCs w:val="34"/>
        </w:rPr>
        <w:t xml:space="preserve">nimal </w:t>
      </w:r>
      <w:r w:rsidR="00093B05">
        <w:rPr>
          <w:rFonts w:ascii="Arial" w:eastAsia="Arial" w:hAnsi="Arial" w:cs="Arial"/>
          <w:b/>
          <w:sz w:val="34"/>
          <w:szCs w:val="34"/>
        </w:rPr>
        <w:t>y acuicultura</w:t>
      </w:r>
    </w:p>
    <w:p w:rsidR="002D44A9" w:rsidRDefault="002D44A9">
      <w:pPr>
        <w:pBdr>
          <w:top w:val="nil"/>
          <w:left w:val="nil"/>
          <w:bottom w:val="nil"/>
          <w:right w:val="nil"/>
          <w:between w:val="nil"/>
        </w:pBdr>
        <w:spacing w:after="0" w:line="240" w:lineRule="auto"/>
        <w:ind w:left="0" w:hanging="2"/>
        <w:jc w:val="center"/>
        <w:rPr>
          <w:rFonts w:ascii="Arial" w:eastAsia="Arial" w:hAnsi="Arial" w:cs="Arial"/>
          <w:b/>
          <w:color w:val="000000"/>
          <w:sz w:val="24"/>
          <w:szCs w:val="24"/>
        </w:rPr>
      </w:pPr>
    </w:p>
    <w:p w:rsidR="002D44A9" w:rsidRPr="00DD6286" w:rsidRDefault="00476DEC" w:rsidP="00DD6286">
      <w:pPr>
        <w:pStyle w:val="Prrafodelista"/>
        <w:numPr>
          <w:ilvl w:val="0"/>
          <w:numId w:val="2"/>
        </w:numPr>
        <w:pBdr>
          <w:top w:val="nil"/>
          <w:left w:val="nil"/>
          <w:bottom w:val="nil"/>
          <w:right w:val="nil"/>
          <w:between w:val="nil"/>
        </w:pBdr>
        <w:spacing w:after="0" w:line="240" w:lineRule="auto"/>
        <w:ind w:leftChars="0" w:left="284" w:firstLineChars="0"/>
        <w:jc w:val="both"/>
        <w:rPr>
          <w:rFonts w:ascii="Arial" w:eastAsia="Arial" w:hAnsi="Arial" w:cs="Arial"/>
          <w:i/>
          <w:color w:val="212121"/>
          <w:sz w:val="20"/>
          <w:szCs w:val="20"/>
        </w:rPr>
      </w:pPr>
      <w:r w:rsidRPr="00DD6286">
        <w:rPr>
          <w:rFonts w:ascii="Arial" w:eastAsia="Arial" w:hAnsi="Arial" w:cs="Arial"/>
          <w:i/>
          <w:color w:val="212121"/>
          <w:sz w:val="20"/>
          <w:szCs w:val="20"/>
        </w:rPr>
        <w:t xml:space="preserve">Fue durante la participación en </w:t>
      </w:r>
      <w:r w:rsidR="00962460" w:rsidRPr="00DD6286">
        <w:rPr>
          <w:rFonts w:ascii="Arial" w:eastAsia="Arial" w:hAnsi="Arial" w:cs="Arial"/>
          <w:i/>
          <w:color w:val="212121"/>
          <w:sz w:val="20"/>
          <w:szCs w:val="20"/>
        </w:rPr>
        <w:t>C</w:t>
      </w:r>
      <w:r w:rsidRPr="00DD6286">
        <w:rPr>
          <w:rFonts w:ascii="Arial" w:eastAsia="Arial" w:hAnsi="Arial" w:cs="Arial"/>
          <w:i/>
          <w:color w:val="212121"/>
          <w:sz w:val="20"/>
          <w:szCs w:val="20"/>
        </w:rPr>
        <w:t xml:space="preserve">onferencia </w:t>
      </w:r>
      <w:r w:rsidR="00962460" w:rsidRPr="00DD6286">
        <w:rPr>
          <w:rFonts w:ascii="Arial" w:eastAsia="Arial" w:hAnsi="Arial" w:cs="Arial"/>
          <w:i/>
          <w:color w:val="212121"/>
          <w:sz w:val="20"/>
          <w:szCs w:val="20"/>
        </w:rPr>
        <w:t>M</w:t>
      </w:r>
      <w:r w:rsidRPr="00DD6286">
        <w:rPr>
          <w:rFonts w:ascii="Arial" w:eastAsia="Arial" w:hAnsi="Arial" w:cs="Arial"/>
          <w:i/>
          <w:color w:val="212121"/>
          <w:sz w:val="20"/>
          <w:szCs w:val="20"/>
        </w:rPr>
        <w:t xml:space="preserve">undial sobre Gestión de Emergencias realizada en París, </w:t>
      </w:r>
      <w:r w:rsidR="00962460" w:rsidRPr="00DD6286">
        <w:rPr>
          <w:rFonts w:ascii="Arial" w:eastAsia="Arial" w:hAnsi="Arial" w:cs="Arial"/>
          <w:i/>
          <w:color w:val="212121"/>
          <w:sz w:val="20"/>
          <w:szCs w:val="20"/>
        </w:rPr>
        <w:t>por la</w:t>
      </w:r>
      <w:r w:rsidRPr="00DD6286">
        <w:rPr>
          <w:rFonts w:ascii="Arial" w:eastAsia="Arial" w:hAnsi="Arial" w:cs="Arial"/>
          <w:i/>
          <w:color w:val="212121"/>
          <w:sz w:val="20"/>
          <w:szCs w:val="20"/>
        </w:rPr>
        <w:t xml:space="preserve"> OMSA</w:t>
      </w:r>
      <w:r w:rsidR="00962460" w:rsidRPr="00DD6286">
        <w:rPr>
          <w:rFonts w:ascii="Arial" w:eastAsia="Arial" w:hAnsi="Arial" w:cs="Arial"/>
          <w:i/>
          <w:color w:val="212121"/>
          <w:sz w:val="20"/>
          <w:szCs w:val="20"/>
        </w:rPr>
        <w:t xml:space="preserve">; y en </w:t>
      </w:r>
      <w:r w:rsidR="00962460" w:rsidRPr="00DD6286">
        <w:rPr>
          <w:rFonts w:ascii="Arial" w:hAnsi="Arial" w:cs="Arial"/>
          <w:i/>
          <w:sz w:val="20"/>
          <w:szCs w:val="20"/>
        </w:rPr>
        <w:t>Latin American and Caribbean Aquaculture 2023 en ciudad de Panamá</w:t>
      </w:r>
      <w:bookmarkStart w:id="0" w:name="_GoBack"/>
      <w:bookmarkEnd w:id="0"/>
    </w:p>
    <w:p w:rsidR="002D44A9" w:rsidRDefault="002D44A9">
      <w:pPr>
        <w:pBdr>
          <w:top w:val="nil"/>
          <w:left w:val="nil"/>
          <w:bottom w:val="nil"/>
          <w:right w:val="nil"/>
          <w:between w:val="nil"/>
        </w:pBdr>
        <w:spacing w:after="0" w:line="240" w:lineRule="auto"/>
        <w:jc w:val="both"/>
        <w:rPr>
          <w:rFonts w:ascii="Arial" w:eastAsia="Arial" w:hAnsi="Arial" w:cs="Arial"/>
          <w:color w:val="000000"/>
          <w:sz w:val="10"/>
          <w:szCs w:val="10"/>
        </w:rPr>
      </w:pPr>
    </w:p>
    <w:p w:rsidR="002D44A9" w:rsidRDefault="00476DEC">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color w:val="000000"/>
          <w:sz w:val="20"/>
          <w:szCs w:val="20"/>
        </w:rPr>
        <w:t xml:space="preserve">El Organismo Nacional de Sanidad Pesquera (Sanipes), </w:t>
      </w:r>
      <w:r w:rsidR="0051593C">
        <w:rPr>
          <w:rFonts w:ascii="Arial" w:eastAsia="Arial" w:hAnsi="Arial" w:cs="Arial"/>
          <w:color w:val="000000"/>
          <w:sz w:val="20"/>
          <w:szCs w:val="20"/>
        </w:rPr>
        <w:t>de</w:t>
      </w:r>
      <w:r>
        <w:rPr>
          <w:rFonts w:ascii="Arial" w:eastAsia="Arial" w:hAnsi="Arial" w:cs="Arial"/>
          <w:color w:val="000000"/>
          <w:sz w:val="20"/>
          <w:szCs w:val="20"/>
        </w:rPr>
        <w:t xml:space="preserve">l </w:t>
      </w:r>
      <w:r w:rsidR="0051593C">
        <w:rPr>
          <w:rFonts w:ascii="Arial" w:eastAsia="Arial" w:hAnsi="Arial" w:cs="Arial"/>
          <w:color w:val="000000"/>
          <w:sz w:val="20"/>
          <w:szCs w:val="20"/>
        </w:rPr>
        <w:t>m</w:t>
      </w:r>
      <w:r>
        <w:rPr>
          <w:rFonts w:ascii="Arial" w:eastAsia="Arial" w:hAnsi="Arial" w:cs="Arial"/>
          <w:color w:val="000000"/>
          <w:sz w:val="20"/>
          <w:szCs w:val="20"/>
        </w:rPr>
        <w:t>inisterio de la Producción, pr</w:t>
      </w:r>
      <w:r>
        <w:rPr>
          <w:rFonts w:ascii="Arial" w:eastAsia="Arial" w:hAnsi="Arial" w:cs="Arial"/>
          <w:sz w:val="20"/>
          <w:szCs w:val="20"/>
        </w:rPr>
        <w:t>esentó</w:t>
      </w:r>
      <w:r w:rsidR="0051593C">
        <w:rPr>
          <w:rFonts w:ascii="Arial" w:eastAsia="Arial" w:hAnsi="Arial" w:cs="Arial"/>
          <w:sz w:val="20"/>
          <w:szCs w:val="20"/>
        </w:rPr>
        <w:t xml:space="preserve"> los</w:t>
      </w:r>
      <w:r>
        <w:rPr>
          <w:rFonts w:ascii="Arial" w:eastAsia="Arial" w:hAnsi="Arial" w:cs="Arial"/>
          <w:sz w:val="20"/>
          <w:szCs w:val="20"/>
        </w:rPr>
        <w:t xml:space="preserve"> resultados de</w:t>
      </w:r>
      <w:r w:rsidR="0051593C">
        <w:rPr>
          <w:rFonts w:ascii="Arial" w:eastAsia="Arial" w:hAnsi="Arial" w:cs="Arial"/>
          <w:sz w:val="20"/>
          <w:szCs w:val="20"/>
        </w:rPr>
        <w:t xml:space="preserve"> la</w:t>
      </w:r>
      <w:r>
        <w:rPr>
          <w:rFonts w:ascii="Arial" w:eastAsia="Arial" w:hAnsi="Arial" w:cs="Arial"/>
          <w:sz w:val="20"/>
          <w:szCs w:val="20"/>
        </w:rPr>
        <w:t xml:space="preserve"> investigación en tilapia lacustre,</w:t>
      </w:r>
      <w:r w:rsidR="00281A24">
        <w:rPr>
          <w:rFonts w:ascii="Arial" w:eastAsia="Arial" w:hAnsi="Arial" w:cs="Arial"/>
          <w:sz w:val="20"/>
          <w:szCs w:val="20"/>
        </w:rPr>
        <w:t xml:space="preserve"> </w:t>
      </w:r>
      <w:r>
        <w:rPr>
          <w:rFonts w:ascii="Arial" w:eastAsia="Arial" w:hAnsi="Arial" w:cs="Arial"/>
          <w:sz w:val="20"/>
          <w:szCs w:val="20"/>
        </w:rPr>
        <w:t xml:space="preserve">durante la Conferencia Mundial sobre Gestión de Emergencias </w:t>
      </w:r>
      <w:r w:rsidR="00281A24">
        <w:rPr>
          <w:rFonts w:ascii="Arial" w:eastAsia="Arial" w:hAnsi="Arial" w:cs="Arial"/>
          <w:sz w:val="20"/>
          <w:szCs w:val="20"/>
        </w:rPr>
        <w:t>realiza</w:t>
      </w:r>
      <w:r w:rsidR="0051593C">
        <w:rPr>
          <w:rFonts w:ascii="Arial" w:eastAsia="Arial" w:hAnsi="Arial" w:cs="Arial"/>
          <w:sz w:val="20"/>
          <w:szCs w:val="20"/>
        </w:rPr>
        <w:t>da</w:t>
      </w:r>
      <w:r>
        <w:rPr>
          <w:rFonts w:ascii="Arial" w:eastAsia="Arial" w:hAnsi="Arial" w:cs="Arial"/>
          <w:sz w:val="20"/>
          <w:szCs w:val="20"/>
        </w:rPr>
        <w:t xml:space="preserve"> por la Organización Mundial de la Sanidad Animal (OMSA) en París, que reunió a más de 400 participantes, entre expertos en gestión de emergencia, delegados de los Miembros de la OMSA, organizaciones internacionales y regionales, entre otros.</w:t>
      </w:r>
    </w:p>
    <w:p w:rsidR="002D44A9" w:rsidRDefault="002D44A9">
      <w:pPr>
        <w:pBdr>
          <w:top w:val="nil"/>
          <w:left w:val="nil"/>
          <w:bottom w:val="nil"/>
          <w:right w:val="nil"/>
          <w:between w:val="nil"/>
        </w:pBdr>
        <w:spacing w:after="0" w:line="240" w:lineRule="auto"/>
        <w:jc w:val="both"/>
        <w:rPr>
          <w:rFonts w:ascii="Arial" w:eastAsia="Arial" w:hAnsi="Arial" w:cs="Arial"/>
          <w:sz w:val="10"/>
          <w:szCs w:val="10"/>
        </w:rPr>
      </w:pPr>
    </w:p>
    <w:p w:rsidR="002D44A9" w:rsidRDefault="00476DEC">
      <w:pPr>
        <w:spacing w:after="0" w:line="240" w:lineRule="auto"/>
        <w:ind w:left="0" w:hanging="2"/>
        <w:jc w:val="both"/>
        <w:rPr>
          <w:rFonts w:ascii="Arial" w:eastAsia="Arial" w:hAnsi="Arial" w:cs="Arial"/>
          <w:sz w:val="20"/>
          <w:szCs w:val="20"/>
        </w:rPr>
      </w:pPr>
      <w:r>
        <w:rPr>
          <w:rFonts w:ascii="Arial" w:eastAsia="Arial" w:hAnsi="Arial" w:cs="Arial"/>
          <w:color w:val="212121"/>
          <w:sz w:val="20"/>
          <w:szCs w:val="20"/>
        </w:rPr>
        <w:t>En el evento</w:t>
      </w:r>
      <w:r w:rsidR="0051593C">
        <w:rPr>
          <w:rFonts w:ascii="Arial" w:eastAsia="Arial" w:hAnsi="Arial" w:cs="Arial"/>
          <w:color w:val="212121"/>
          <w:sz w:val="20"/>
          <w:szCs w:val="20"/>
        </w:rPr>
        <w:t>,</w:t>
      </w:r>
      <w:r>
        <w:rPr>
          <w:rFonts w:ascii="Arial" w:eastAsia="Arial" w:hAnsi="Arial" w:cs="Arial"/>
          <w:color w:val="212121"/>
          <w:sz w:val="20"/>
          <w:szCs w:val="20"/>
        </w:rPr>
        <w:t xml:space="preserve"> cuyo propósito fue </w:t>
      </w:r>
      <w:r>
        <w:rPr>
          <w:rFonts w:ascii="Arial" w:eastAsia="Arial" w:hAnsi="Arial" w:cs="Arial"/>
          <w:sz w:val="20"/>
          <w:szCs w:val="20"/>
        </w:rPr>
        <w:t xml:space="preserve">la preparación frente a las emergencias y brindar soluciones innovadoras orientadas a mitigar y gestionar dichas </w:t>
      </w:r>
      <w:r w:rsidR="00281A24">
        <w:rPr>
          <w:rFonts w:ascii="Arial" w:eastAsia="Arial" w:hAnsi="Arial" w:cs="Arial"/>
          <w:sz w:val="20"/>
          <w:szCs w:val="20"/>
        </w:rPr>
        <w:t>situaciones</w:t>
      </w:r>
      <w:r>
        <w:rPr>
          <w:rFonts w:ascii="Arial" w:eastAsia="Arial" w:hAnsi="Arial" w:cs="Arial"/>
          <w:sz w:val="20"/>
          <w:szCs w:val="20"/>
        </w:rPr>
        <w:t xml:space="preserve">, </w:t>
      </w:r>
      <w:r w:rsidR="0051593C">
        <w:rPr>
          <w:rFonts w:ascii="Arial" w:eastAsia="Arial" w:hAnsi="Arial" w:cs="Arial"/>
          <w:sz w:val="20"/>
          <w:szCs w:val="20"/>
        </w:rPr>
        <w:t xml:space="preserve">se </w:t>
      </w:r>
      <w:r w:rsidR="00281A24">
        <w:rPr>
          <w:rFonts w:ascii="Arial" w:eastAsia="Arial" w:hAnsi="Arial" w:cs="Arial"/>
          <w:sz w:val="20"/>
          <w:szCs w:val="20"/>
        </w:rPr>
        <w:t>present</w:t>
      </w:r>
      <w:r w:rsidR="0051593C">
        <w:rPr>
          <w:rFonts w:ascii="Arial" w:eastAsia="Arial" w:hAnsi="Arial" w:cs="Arial"/>
          <w:sz w:val="20"/>
          <w:szCs w:val="20"/>
        </w:rPr>
        <w:t>ó</w:t>
      </w:r>
      <w:r w:rsidR="00281A24">
        <w:rPr>
          <w:rFonts w:ascii="Arial" w:eastAsia="Arial" w:hAnsi="Arial" w:cs="Arial"/>
          <w:sz w:val="20"/>
          <w:szCs w:val="20"/>
        </w:rPr>
        <w:t xml:space="preserve"> </w:t>
      </w:r>
      <w:r>
        <w:rPr>
          <w:rFonts w:ascii="Arial" w:eastAsia="Arial" w:hAnsi="Arial" w:cs="Arial"/>
          <w:color w:val="212121"/>
          <w:sz w:val="20"/>
          <w:szCs w:val="20"/>
        </w:rPr>
        <w:t>el estudio “Medidas de control ante el virus de la tilapia lacustre (TiLV) en el Perú”</w:t>
      </w:r>
      <w:r w:rsidR="00281A24">
        <w:rPr>
          <w:rFonts w:ascii="Arial" w:eastAsia="Arial" w:hAnsi="Arial" w:cs="Arial"/>
          <w:color w:val="212121"/>
          <w:sz w:val="20"/>
          <w:szCs w:val="20"/>
        </w:rPr>
        <w:t xml:space="preserve">, </w:t>
      </w:r>
      <w:r>
        <w:rPr>
          <w:rFonts w:ascii="Arial" w:eastAsia="Arial" w:hAnsi="Arial" w:cs="Arial"/>
          <w:color w:val="212121"/>
          <w:sz w:val="20"/>
          <w:szCs w:val="20"/>
        </w:rPr>
        <w:t xml:space="preserve">en colaboración con la vicepresidenta de la Comisión de Normas para Animales Acuáticos, Dra. </w:t>
      </w:r>
      <w:r>
        <w:rPr>
          <w:rFonts w:ascii="Arial" w:eastAsia="Arial" w:hAnsi="Arial" w:cs="Arial"/>
          <w:sz w:val="20"/>
          <w:szCs w:val="20"/>
        </w:rPr>
        <w:t>Alicia Gallardo.</w:t>
      </w:r>
    </w:p>
    <w:p w:rsidR="002D44A9" w:rsidRDefault="002D44A9">
      <w:pPr>
        <w:spacing w:after="0" w:line="240" w:lineRule="auto"/>
        <w:jc w:val="both"/>
        <w:rPr>
          <w:rFonts w:ascii="Arial" w:eastAsia="Arial" w:hAnsi="Arial" w:cs="Arial"/>
          <w:sz w:val="10"/>
          <w:szCs w:val="10"/>
        </w:rPr>
      </w:pPr>
    </w:p>
    <w:p w:rsidR="00281A24" w:rsidRDefault="00281A24">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También se replicó la presentación, en el </w:t>
      </w:r>
      <w:r w:rsidRPr="00D53B51">
        <w:rPr>
          <w:rFonts w:ascii="Arial" w:hAnsi="Arial" w:cs="Arial"/>
          <w:sz w:val="20"/>
          <w:szCs w:val="20"/>
        </w:rPr>
        <w:t xml:space="preserve">Latin American and Caribbean Aquaculture 2023 (LACQUA) </w:t>
      </w:r>
      <w:r>
        <w:rPr>
          <w:rFonts w:ascii="Arial" w:hAnsi="Arial" w:cs="Arial"/>
          <w:sz w:val="20"/>
          <w:szCs w:val="20"/>
        </w:rPr>
        <w:t>realizado en</w:t>
      </w:r>
      <w:r w:rsidRPr="00D53B51">
        <w:rPr>
          <w:rFonts w:ascii="Arial" w:hAnsi="Arial" w:cs="Arial"/>
          <w:sz w:val="20"/>
          <w:szCs w:val="20"/>
        </w:rPr>
        <w:t xml:space="preserve"> Panamá</w:t>
      </w:r>
      <w:r>
        <w:rPr>
          <w:rFonts w:ascii="Arial" w:hAnsi="Arial" w:cs="Arial"/>
          <w:sz w:val="20"/>
          <w:szCs w:val="20"/>
        </w:rPr>
        <w:t xml:space="preserve">, </w:t>
      </w:r>
      <w:r w:rsidRPr="00D53B51">
        <w:rPr>
          <w:rFonts w:ascii="Arial" w:hAnsi="Arial" w:cs="Arial"/>
          <w:sz w:val="20"/>
          <w:szCs w:val="20"/>
        </w:rPr>
        <w:t>conferencia anual reconocida entre las más relevantes de latinoamerica por su intercambio de conocimientos, tecnología, innovación y formación de redes de profesionales en el ámbito de la acuicultura.</w:t>
      </w:r>
    </w:p>
    <w:p w:rsidR="00281A24" w:rsidRPr="00281A24" w:rsidRDefault="00281A24">
      <w:pPr>
        <w:spacing w:after="0" w:line="240" w:lineRule="auto"/>
        <w:jc w:val="both"/>
        <w:rPr>
          <w:rFonts w:ascii="Arial" w:eastAsia="Arial" w:hAnsi="Arial" w:cs="Arial"/>
          <w:sz w:val="10"/>
          <w:szCs w:val="10"/>
        </w:rPr>
      </w:pPr>
    </w:p>
    <w:p w:rsidR="002D44A9" w:rsidRDefault="00E130B2">
      <w:pPr>
        <w:spacing w:after="0" w:line="240" w:lineRule="auto"/>
        <w:ind w:left="0" w:hanging="2"/>
        <w:jc w:val="both"/>
        <w:rPr>
          <w:rFonts w:ascii="Arial" w:eastAsia="Arial" w:hAnsi="Arial" w:cs="Arial"/>
          <w:sz w:val="20"/>
          <w:szCs w:val="20"/>
        </w:rPr>
      </w:pPr>
      <w:r>
        <w:rPr>
          <w:rFonts w:ascii="Arial" w:eastAsia="Arial" w:hAnsi="Arial" w:cs="Arial"/>
          <w:sz w:val="20"/>
          <w:szCs w:val="20"/>
        </w:rPr>
        <w:t>L</w:t>
      </w:r>
      <w:r w:rsidR="00476DEC">
        <w:rPr>
          <w:rFonts w:ascii="Arial" w:eastAsia="Arial" w:hAnsi="Arial" w:cs="Arial"/>
          <w:sz w:val="20"/>
          <w:szCs w:val="20"/>
        </w:rPr>
        <w:t xml:space="preserve">a investigación está </w:t>
      </w:r>
      <w:r w:rsidR="00476DEC">
        <w:rPr>
          <w:rFonts w:ascii="Arial" w:eastAsia="Arial" w:hAnsi="Arial" w:cs="Arial"/>
          <w:color w:val="212121"/>
          <w:sz w:val="20"/>
          <w:szCs w:val="20"/>
        </w:rPr>
        <w:t xml:space="preserve">relacionada a la aplicación del Plan de Control para mitigar el impacto del TiLV en el departamento de San Martín, a través de una vigilancia específica del virus, aplicando los tres niveles de diagnóstico recomendados por la Organización de las Naciones Unidas para la Alimentación y la Agricultura (FAO), así como, el acompañamiento técnico y verificación de la aplicación de medidas de bioseguridad en centros de cultivo de engorde y producción de semilla de tilapia, en el marco de </w:t>
      </w:r>
      <w:r>
        <w:rPr>
          <w:rFonts w:ascii="Arial" w:eastAsia="Arial" w:hAnsi="Arial" w:cs="Arial"/>
          <w:color w:val="212121"/>
          <w:sz w:val="20"/>
          <w:szCs w:val="20"/>
        </w:rPr>
        <w:t>l</w:t>
      </w:r>
      <w:r w:rsidR="00476DEC">
        <w:rPr>
          <w:rFonts w:ascii="Arial" w:eastAsia="Arial" w:hAnsi="Arial" w:cs="Arial"/>
          <w:color w:val="212121"/>
          <w:sz w:val="20"/>
          <w:szCs w:val="20"/>
        </w:rPr>
        <w:t>a normativa vigente.</w:t>
      </w:r>
    </w:p>
    <w:p w:rsidR="002D44A9" w:rsidRDefault="002D44A9">
      <w:pPr>
        <w:pBdr>
          <w:top w:val="nil"/>
          <w:left w:val="nil"/>
          <w:bottom w:val="nil"/>
          <w:right w:val="nil"/>
          <w:between w:val="nil"/>
        </w:pBdr>
        <w:spacing w:after="0" w:line="240" w:lineRule="auto"/>
        <w:jc w:val="both"/>
        <w:rPr>
          <w:rFonts w:ascii="Arial" w:eastAsia="Arial" w:hAnsi="Arial" w:cs="Arial"/>
          <w:sz w:val="10"/>
          <w:szCs w:val="10"/>
        </w:rPr>
      </w:pPr>
    </w:p>
    <w:p w:rsidR="002D44A9" w:rsidRDefault="00476DEC">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En esa línea, se detallaron las acciones realizadas para la identificación de factores de riesgo y protección para mitigar el virus, mediante el levantamiento de información a través de encuestas epidemiológicas en los centros de producción muestreados, orientados a la aplicación de medidas de limpieza y desinfección, tratamiento de agua, cuarentena, tratamientos preventivos, disposición de mortalidad, entre otros. </w:t>
      </w:r>
    </w:p>
    <w:p w:rsidR="002D44A9" w:rsidRDefault="002D44A9">
      <w:pPr>
        <w:pBdr>
          <w:top w:val="nil"/>
          <w:left w:val="nil"/>
          <w:bottom w:val="nil"/>
          <w:right w:val="nil"/>
          <w:between w:val="nil"/>
        </w:pBdr>
        <w:spacing w:after="0" w:line="240" w:lineRule="auto"/>
        <w:jc w:val="both"/>
        <w:rPr>
          <w:rFonts w:ascii="Arial" w:eastAsia="Arial" w:hAnsi="Arial" w:cs="Arial"/>
          <w:sz w:val="10"/>
          <w:szCs w:val="10"/>
        </w:rPr>
      </w:pPr>
    </w:p>
    <w:p w:rsidR="002D44A9" w:rsidRDefault="00476DEC">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Los resultados demostraron que, en los centros de producción de semilla, las medidas de control aplicadas, como la desinfección de unidades productivas (FC=-0.730) y fomites (FC=-0.417), resultaron ser los principales factores de protección que estarían influyendo en la ausencia del TiLV.</w:t>
      </w:r>
    </w:p>
    <w:p w:rsidR="002D44A9" w:rsidRDefault="002D44A9">
      <w:pPr>
        <w:pBdr>
          <w:top w:val="nil"/>
          <w:left w:val="nil"/>
          <w:bottom w:val="nil"/>
          <w:right w:val="nil"/>
          <w:between w:val="nil"/>
        </w:pBdr>
        <w:spacing w:after="0" w:line="240" w:lineRule="auto"/>
        <w:jc w:val="both"/>
        <w:rPr>
          <w:rFonts w:ascii="Arial" w:eastAsia="Arial" w:hAnsi="Arial" w:cs="Arial"/>
          <w:sz w:val="10"/>
          <w:szCs w:val="10"/>
        </w:rPr>
      </w:pPr>
    </w:p>
    <w:p w:rsidR="002D44A9" w:rsidRDefault="00476DEC">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Por otro lado, en los centros de producción de engorde, los proveedores de semilla con antecedentes positivos al TiLV (FC=0.123), la presencia de brotes con mortalidades del 2% al 40% (FC=0.580) y la falta de tratamiento de agua (FC= 0.069), resultaron ser los principales factores de riesgo que estarían contribuyendo a la presencia del TiLV.</w:t>
      </w:r>
    </w:p>
    <w:p w:rsidR="002D44A9" w:rsidRDefault="002D44A9">
      <w:pPr>
        <w:pBdr>
          <w:top w:val="nil"/>
          <w:left w:val="nil"/>
          <w:bottom w:val="nil"/>
          <w:right w:val="nil"/>
          <w:between w:val="nil"/>
        </w:pBdr>
        <w:spacing w:after="0" w:line="240" w:lineRule="auto"/>
        <w:jc w:val="both"/>
        <w:rPr>
          <w:rFonts w:ascii="Arial" w:eastAsia="Arial" w:hAnsi="Arial" w:cs="Arial"/>
          <w:sz w:val="10"/>
          <w:szCs w:val="10"/>
        </w:rPr>
      </w:pPr>
    </w:p>
    <w:p w:rsidR="002D44A9" w:rsidRDefault="00476DEC">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Finalmente, el presente estudio evidencia que el TiLV es una enfermedad endémica en el Perú, sin embargo, la implementación de estrategias de control tiene un impacto positivo en la mitigación del virus para la recuperación de la actividad acuícola, lo cual no sería posible sin la participación de todos los actores de la cadena de producción de tilapia.</w:t>
      </w:r>
    </w:p>
    <w:p w:rsidR="00281A24" w:rsidRPr="000B71F9" w:rsidRDefault="00281A24">
      <w:pPr>
        <w:pBdr>
          <w:top w:val="nil"/>
          <w:left w:val="nil"/>
          <w:bottom w:val="nil"/>
          <w:right w:val="nil"/>
          <w:between w:val="nil"/>
        </w:pBdr>
        <w:spacing w:after="0" w:line="240" w:lineRule="auto"/>
        <w:jc w:val="both"/>
        <w:rPr>
          <w:rFonts w:ascii="Arial" w:eastAsia="Arial" w:hAnsi="Arial" w:cs="Arial"/>
          <w:sz w:val="10"/>
          <w:szCs w:val="10"/>
        </w:rPr>
      </w:pPr>
    </w:p>
    <w:p w:rsidR="000B71F9" w:rsidRPr="000B71F9" w:rsidRDefault="000B71F9" w:rsidP="000B71F9">
      <w:pPr>
        <w:pBdr>
          <w:top w:val="nil"/>
          <w:left w:val="nil"/>
          <w:bottom w:val="nil"/>
          <w:right w:val="nil"/>
          <w:between w:val="nil"/>
        </w:pBdr>
        <w:spacing w:after="0"/>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Para mayor información pueden ingresar al siguiente enlace: </w:t>
      </w:r>
      <w:hyperlink r:id="rId8">
        <w:r>
          <w:rPr>
            <w:rFonts w:ascii="Arial" w:eastAsia="Arial" w:hAnsi="Arial" w:cs="Arial"/>
            <w:color w:val="0563C1"/>
            <w:sz w:val="20"/>
            <w:szCs w:val="20"/>
            <w:u w:val="single"/>
          </w:rPr>
          <w:t>https://www.sanipes.gob.pe/tilapia/</w:t>
        </w:r>
      </w:hyperlink>
      <w:r>
        <w:rPr>
          <w:rFonts w:ascii="Arial" w:eastAsia="Arial" w:hAnsi="Arial" w:cs="Arial"/>
          <w:color w:val="000000"/>
          <w:sz w:val="20"/>
          <w:szCs w:val="20"/>
        </w:rPr>
        <w:t xml:space="preserve"> </w:t>
      </w:r>
    </w:p>
    <w:p w:rsidR="000B71F9" w:rsidRPr="000B71F9" w:rsidRDefault="000B71F9">
      <w:pPr>
        <w:pBdr>
          <w:top w:val="nil"/>
          <w:left w:val="nil"/>
          <w:bottom w:val="nil"/>
          <w:right w:val="nil"/>
          <w:between w:val="nil"/>
        </w:pBdr>
        <w:spacing w:after="0" w:line="240" w:lineRule="auto"/>
        <w:jc w:val="both"/>
        <w:rPr>
          <w:rFonts w:ascii="Arial" w:eastAsia="Arial" w:hAnsi="Arial" w:cs="Arial"/>
          <w:sz w:val="10"/>
          <w:szCs w:val="10"/>
        </w:rPr>
      </w:pPr>
    </w:p>
    <w:p w:rsidR="00281A24" w:rsidRPr="00D53B51" w:rsidRDefault="000B71F9" w:rsidP="00281A24">
      <w:pPr>
        <w:ind w:left="0" w:hanging="2"/>
        <w:jc w:val="both"/>
        <w:rPr>
          <w:rFonts w:ascii="Arial" w:hAnsi="Arial" w:cs="Arial"/>
          <w:sz w:val="20"/>
          <w:szCs w:val="20"/>
        </w:rPr>
      </w:pPr>
      <w:r>
        <w:rPr>
          <w:rFonts w:ascii="Arial" w:hAnsi="Arial" w:cs="Arial"/>
          <w:sz w:val="20"/>
          <w:szCs w:val="20"/>
        </w:rPr>
        <w:lastRenderedPageBreak/>
        <w:t>Adicionalmente,</w:t>
      </w:r>
      <w:r w:rsidR="00281A24">
        <w:rPr>
          <w:rFonts w:ascii="Arial" w:hAnsi="Arial" w:cs="Arial"/>
          <w:sz w:val="20"/>
          <w:szCs w:val="20"/>
        </w:rPr>
        <w:t xml:space="preserve"> en el evento de Panamá, </w:t>
      </w:r>
      <w:r w:rsidR="003B584C">
        <w:rPr>
          <w:rFonts w:ascii="Arial" w:hAnsi="Arial" w:cs="Arial"/>
          <w:sz w:val="20"/>
          <w:szCs w:val="20"/>
        </w:rPr>
        <w:t xml:space="preserve">se presentó </w:t>
      </w:r>
      <w:r w:rsidR="00281A24" w:rsidRPr="00D53B51">
        <w:rPr>
          <w:rFonts w:ascii="Arial" w:hAnsi="Arial" w:cs="Arial"/>
          <w:sz w:val="20"/>
          <w:szCs w:val="20"/>
        </w:rPr>
        <w:t xml:space="preserve">el proyecto "Primer estudio epidemiológico para detectar Megalocytivirus y Ranavirus en peces ornamentales de la amazonia peruana", </w:t>
      </w:r>
      <w:r w:rsidR="003B584C">
        <w:rPr>
          <w:rFonts w:ascii="Arial" w:hAnsi="Arial" w:cs="Arial"/>
          <w:sz w:val="20"/>
          <w:szCs w:val="20"/>
        </w:rPr>
        <w:t>el</w:t>
      </w:r>
      <w:r w:rsidR="00281A24">
        <w:rPr>
          <w:rFonts w:ascii="Arial" w:hAnsi="Arial" w:cs="Arial"/>
          <w:sz w:val="20"/>
          <w:szCs w:val="20"/>
        </w:rPr>
        <w:t xml:space="preserve"> cual está </w:t>
      </w:r>
      <w:r w:rsidR="00281A24" w:rsidRPr="00D53B51">
        <w:rPr>
          <w:rFonts w:ascii="Arial" w:hAnsi="Arial" w:cs="Arial"/>
          <w:sz w:val="20"/>
          <w:szCs w:val="20"/>
        </w:rPr>
        <w:t xml:space="preserve">relacionado a la detección de agentes patógenos virales emergentes en especies ornamentales amazónicos de valor comercial en </w:t>
      </w:r>
      <w:r w:rsidR="00281A24">
        <w:rPr>
          <w:rFonts w:ascii="Arial" w:hAnsi="Arial" w:cs="Arial"/>
          <w:sz w:val="20"/>
          <w:szCs w:val="20"/>
        </w:rPr>
        <w:t xml:space="preserve">la región </w:t>
      </w:r>
      <w:r w:rsidR="00281A24" w:rsidRPr="00D53B51">
        <w:rPr>
          <w:rFonts w:ascii="Arial" w:hAnsi="Arial" w:cs="Arial"/>
          <w:sz w:val="20"/>
          <w:szCs w:val="20"/>
        </w:rPr>
        <w:t>Loreto, mediante técnicas moleculares así como la utilización de herramientas histopatológicas</w:t>
      </w:r>
      <w:r w:rsidR="00281A24">
        <w:rPr>
          <w:rFonts w:ascii="Arial" w:hAnsi="Arial" w:cs="Arial"/>
          <w:sz w:val="20"/>
          <w:szCs w:val="20"/>
        </w:rPr>
        <w:t xml:space="preserve">; </w:t>
      </w:r>
      <w:r w:rsidR="00281A24" w:rsidRPr="00D53B51">
        <w:rPr>
          <w:rFonts w:ascii="Arial" w:hAnsi="Arial" w:cs="Arial"/>
          <w:sz w:val="20"/>
          <w:szCs w:val="20"/>
        </w:rPr>
        <w:t>contribuye</w:t>
      </w:r>
      <w:r w:rsidR="00281A24">
        <w:rPr>
          <w:rFonts w:ascii="Arial" w:hAnsi="Arial" w:cs="Arial"/>
          <w:sz w:val="20"/>
          <w:szCs w:val="20"/>
        </w:rPr>
        <w:t>ndo el estudio</w:t>
      </w:r>
      <w:r w:rsidR="00281A24" w:rsidRPr="00D53B51">
        <w:rPr>
          <w:rFonts w:ascii="Arial" w:hAnsi="Arial" w:cs="Arial"/>
          <w:sz w:val="20"/>
          <w:szCs w:val="20"/>
        </w:rPr>
        <w:t xml:space="preserve"> a establecer una línea base respecto al estatus sanitario respecto a las enfermedades </w:t>
      </w:r>
      <w:r w:rsidR="00281A24">
        <w:rPr>
          <w:rFonts w:ascii="Arial" w:hAnsi="Arial" w:cs="Arial"/>
          <w:sz w:val="20"/>
          <w:szCs w:val="20"/>
        </w:rPr>
        <w:t xml:space="preserve">que afecten a los </w:t>
      </w:r>
      <w:r w:rsidR="00281A24" w:rsidRPr="00D53B51">
        <w:rPr>
          <w:rFonts w:ascii="Arial" w:hAnsi="Arial" w:cs="Arial"/>
          <w:sz w:val="20"/>
          <w:szCs w:val="20"/>
        </w:rPr>
        <w:t>peces ornamentales en el país.</w:t>
      </w:r>
    </w:p>
    <w:p w:rsidR="002D44A9" w:rsidRDefault="002D44A9" w:rsidP="00962460">
      <w:pPr>
        <w:spacing w:after="0" w:line="240" w:lineRule="auto"/>
        <w:ind w:leftChars="0" w:left="0" w:firstLineChars="0" w:firstLine="0"/>
        <w:jc w:val="both"/>
        <w:rPr>
          <w:rFonts w:ascii="Arial" w:eastAsia="Arial" w:hAnsi="Arial" w:cs="Arial"/>
          <w:color w:val="212121"/>
        </w:rPr>
      </w:pPr>
    </w:p>
    <w:p w:rsidR="002D44A9" w:rsidRDefault="00476DEC">
      <w:pPr>
        <w:spacing w:after="0" w:line="240" w:lineRule="auto"/>
        <w:ind w:left="0" w:hanging="2"/>
        <w:jc w:val="both"/>
      </w:pPr>
      <w:r>
        <w:rPr>
          <w:rFonts w:ascii="Arial" w:eastAsia="Arial" w:hAnsi="Arial" w:cs="Arial"/>
          <w:color w:val="212121"/>
          <w:sz w:val="20"/>
          <w:szCs w:val="20"/>
        </w:rPr>
        <w:t>Agradecemos su difusión.</w:t>
      </w:r>
    </w:p>
    <w:sectPr w:rsidR="002D44A9">
      <w:headerReference w:type="even" r:id="rId9"/>
      <w:headerReference w:type="default" r:id="rId10"/>
      <w:footerReference w:type="even" r:id="rId11"/>
      <w:footerReference w:type="default" r:id="rId12"/>
      <w:headerReference w:type="first" r:id="rId13"/>
      <w:footerReference w:type="first" r:id="rId14"/>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512" w:rsidRDefault="00AD3512">
      <w:pPr>
        <w:spacing w:after="0" w:line="240" w:lineRule="auto"/>
        <w:ind w:left="0" w:hanging="2"/>
      </w:pPr>
      <w:r>
        <w:separator/>
      </w:r>
    </w:p>
  </w:endnote>
  <w:endnote w:type="continuationSeparator" w:id="0">
    <w:p w:rsidR="00AD3512" w:rsidRDefault="00AD351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A9" w:rsidRDefault="002D44A9">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A9" w:rsidRDefault="00476DEC">
    <w:pPr>
      <w:tabs>
        <w:tab w:val="left" w:pos="-284"/>
      </w:tabs>
      <w:spacing w:after="0" w:line="360" w:lineRule="auto"/>
      <w:ind w:left="0" w:right="-568" w:hanging="2"/>
      <w:jc w:val="both"/>
      <w:rPr>
        <w:sz w:val="14"/>
        <w:szCs w:val="14"/>
      </w:rPr>
    </w:pPr>
    <w:r>
      <w:rPr>
        <w:noProof/>
        <w:lang w:eastAsia="es-PE"/>
      </w:rPr>
      <w:drawing>
        <wp:anchor distT="0" distB="0" distL="0" distR="0" simplePos="0" relativeHeight="251660288" behindDoc="1" locked="0" layoutInCell="1" hidden="0" allowOverlap="1">
          <wp:simplePos x="0" y="0"/>
          <wp:positionH relativeFrom="column">
            <wp:posOffset>-504397</wp:posOffset>
          </wp:positionH>
          <wp:positionV relativeFrom="paragraph">
            <wp:posOffset>148026</wp:posOffset>
          </wp:positionV>
          <wp:extent cx="1528153" cy="656539"/>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rsidR="002D44A9" w:rsidRDefault="00476DEC">
    <w:pPr>
      <w:ind w:left="0" w:hanging="2"/>
      <w:rPr>
        <w:sz w:val="10"/>
        <w:szCs w:val="10"/>
      </w:rPr>
    </w:pPr>
    <w:r>
      <w:rPr>
        <w:noProof/>
        <w:lang w:eastAsia="es-PE"/>
      </w:rPr>
      <w:drawing>
        <wp:anchor distT="0" distB="0" distL="114300" distR="114300" simplePos="0" relativeHeight="251661312" behindDoc="0" locked="0" layoutInCell="1" hidden="0" allowOverlap="1">
          <wp:simplePos x="0" y="0"/>
          <wp:positionH relativeFrom="column">
            <wp:posOffset>4902975</wp:posOffset>
          </wp:positionH>
          <wp:positionV relativeFrom="paragraph">
            <wp:posOffset>21096</wp:posOffset>
          </wp:positionV>
          <wp:extent cx="1066645" cy="643198"/>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rsidR="002D44A9" w:rsidRDefault="00476DEC">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rsidR="002D44A9" w:rsidRDefault="00476DEC">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rsidR="002D44A9" w:rsidRDefault="002D44A9">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A9" w:rsidRDefault="002D44A9">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512" w:rsidRDefault="00AD3512">
      <w:pPr>
        <w:spacing w:after="0" w:line="240" w:lineRule="auto"/>
        <w:ind w:left="0" w:hanging="2"/>
      </w:pPr>
      <w:r>
        <w:separator/>
      </w:r>
    </w:p>
  </w:footnote>
  <w:footnote w:type="continuationSeparator" w:id="0">
    <w:p w:rsidR="00AD3512" w:rsidRDefault="00AD351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A9" w:rsidRDefault="002D44A9">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A9" w:rsidRDefault="00476DEC">
    <w:pPr>
      <w:pBdr>
        <w:top w:val="nil"/>
        <w:left w:val="nil"/>
        <w:bottom w:val="nil"/>
        <w:right w:val="nil"/>
        <w:between w:val="nil"/>
      </w:pBdr>
      <w:spacing w:after="0" w:line="240" w:lineRule="auto"/>
      <w:ind w:left="0" w:hanging="2"/>
      <w:rPr>
        <w:color w:val="000000"/>
      </w:rPr>
    </w:pPr>
    <w:r>
      <w:rPr>
        <w:noProof/>
        <w:lang w:eastAsia="es-PE"/>
      </w:rPr>
      <w:drawing>
        <wp:anchor distT="0" distB="0" distL="114300" distR="114300" simplePos="0" relativeHeight="251658240" behindDoc="0" locked="0" layoutInCell="1" hidden="0" allowOverlap="1">
          <wp:simplePos x="0" y="0"/>
          <wp:positionH relativeFrom="column">
            <wp:posOffset>-594710</wp:posOffset>
          </wp:positionH>
          <wp:positionV relativeFrom="paragraph">
            <wp:posOffset>12488</wp:posOffset>
          </wp:positionV>
          <wp:extent cx="2104712" cy="418679"/>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lang w:eastAsia="es-PE"/>
      </w:rPr>
      <w:drawing>
        <wp:anchor distT="0" distB="0" distL="114300" distR="114300" simplePos="0" relativeHeight="251659264" behindDoc="0" locked="0" layoutInCell="1" hidden="0" allowOverlap="1">
          <wp:simplePos x="0" y="0"/>
          <wp:positionH relativeFrom="column">
            <wp:posOffset>4406265</wp:posOffset>
          </wp:positionH>
          <wp:positionV relativeFrom="paragraph">
            <wp:posOffset>12488</wp:posOffset>
          </wp:positionV>
          <wp:extent cx="1538824" cy="486272"/>
          <wp:effectExtent l="0" t="0" r="0" b="0"/>
          <wp:wrapNone/>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rsidR="002D44A9" w:rsidRDefault="002D44A9">
    <w:pPr>
      <w:pBdr>
        <w:top w:val="nil"/>
        <w:left w:val="nil"/>
        <w:bottom w:val="nil"/>
        <w:right w:val="nil"/>
        <w:between w:val="nil"/>
      </w:pBdr>
      <w:spacing w:after="0" w:line="240" w:lineRule="auto"/>
      <w:ind w:left="0" w:hanging="2"/>
      <w:rPr>
        <w:color w:val="000000"/>
      </w:rPr>
    </w:pPr>
  </w:p>
  <w:p w:rsidR="002D44A9" w:rsidRDefault="002D44A9">
    <w:pPr>
      <w:pBdr>
        <w:top w:val="nil"/>
        <w:left w:val="nil"/>
        <w:bottom w:val="nil"/>
        <w:right w:val="nil"/>
        <w:between w:val="nil"/>
      </w:pBdr>
      <w:spacing w:after="0" w:line="240" w:lineRule="auto"/>
      <w:ind w:left="0" w:hanging="2"/>
      <w:rPr>
        <w:color w:val="000000"/>
      </w:rPr>
    </w:pPr>
  </w:p>
  <w:p w:rsidR="002D44A9" w:rsidRDefault="002D44A9">
    <w:pPr>
      <w:pBdr>
        <w:top w:val="nil"/>
        <w:left w:val="nil"/>
        <w:bottom w:val="nil"/>
        <w:right w:val="nil"/>
        <w:between w:val="nil"/>
      </w:pBdr>
      <w:spacing w:after="0" w:line="240" w:lineRule="auto"/>
      <w:rPr>
        <w:color w:val="000000"/>
        <w:sz w:val="10"/>
        <w:szCs w:val="10"/>
      </w:rPr>
    </w:pPr>
  </w:p>
  <w:p w:rsidR="002D44A9" w:rsidRDefault="00476DE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rsidR="002D44A9" w:rsidRDefault="00476DE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rsidR="002D44A9" w:rsidRDefault="002D44A9">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A9" w:rsidRDefault="002D44A9">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5D7"/>
    <w:multiLevelType w:val="hybridMultilevel"/>
    <w:tmpl w:val="E93C6858"/>
    <w:lvl w:ilvl="0" w:tplc="280A0001">
      <w:start w:val="1"/>
      <w:numFmt w:val="bullet"/>
      <w:lvlText w:val=""/>
      <w:lvlJc w:val="left"/>
      <w:pPr>
        <w:ind w:left="718" w:hanging="360"/>
      </w:pPr>
      <w:rPr>
        <w:rFonts w:ascii="Symbol" w:hAnsi="Symbol" w:hint="default"/>
      </w:rPr>
    </w:lvl>
    <w:lvl w:ilvl="1" w:tplc="280A0003" w:tentative="1">
      <w:start w:val="1"/>
      <w:numFmt w:val="bullet"/>
      <w:lvlText w:val="o"/>
      <w:lvlJc w:val="left"/>
      <w:pPr>
        <w:ind w:left="1438" w:hanging="360"/>
      </w:pPr>
      <w:rPr>
        <w:rFonts w:ascii="Courier New" w:hAnsi="Courier New" w:cs="Courier New" w:hint="default"/>
      </w:rPr>
    </w:lvl>
    <w:lvl w:ilvl="2" w:tplc="280A0005" w:tentative="1">
      <w:start w:val="1"/>
      <w:numFmt w:val="bullet"/>
      <w:lvlText w:val=""/>
      <w:lvlJc w:val="left"/>
      <w:pPr>
        <w:ind w:left="2158" w:hanging="360"/>
      </w:pPr>
      <w:rPr>
        <w:rFonts w:ascii="Wingdings" w:hAnsi="Wingdings" w:hint="default"/>
      </w:rPr>
    </w:lvl>
    <w:lvl w:ilvl="3" w:tplc="280A0001" w:tentative="1">
      <w:start w:val="1"/>
      <w:numFmt w:val="bullet"/>
      <w:lvlText w:val=""/>
      <w:lvlJc w:val="left"/>
      <w:pPr>
        <w:ind w:left="2878" w:hanging="360"/>
      </w:pPr>
      <w:rPr>
        <w:rFonts w:ascii="Symbol" w:hAnsi="Symbol" w:hint="default"/>
      </w:rPr>
    </w:lvl>
    <w:lvl w:ilvl="4" w:tplc="280A0003" w:tentative="1">
      <w:start w:val="1"/>
      <w:numFmt w:val="bullet"/>
      <w:lvlText w:val="o"/>
      <w:lvlJc w:val="left"/>
      <w:pPr>
        <w:ind w:left="3598" w:hanging="360"/>
      </w:pPr>
      <w:rPr>
        <w:rFonts w:ascii="Courier New" w:hAnsi="Courier New" w:cs="Courier New" w:hint="default"/>
      </w:rPr>
    </w:lvl>
    <w:lvl w:ilvl="5" w:tplc="280A0005" w:tentative="1">
      <w:start w:val="1"/>
      <w:numFmt w:val="bullet"/>
      <w:lvlText w:val=""/>
      <w:lvlJc w:val="left"/>
      <w:pPr>
        <w:ind w:left="4318" w:hanging="360"/>
      </w:pPr>
      <w:rPr>
        <w:rFonts w:ascii="Wingdings" w:hAnsi="Wingdings" w:hint="default"/>
      </w:rPr>
    </w:lvl>
    <w:lvl w:ilvl="6" w:tplc="280A0001" w:tentative="1">
      <w:start w:val="1"/>
      <w:numFmt w:val="bullet"/>
      <w:lvlText w:val=""/>
      <w:lvlJc w:val="left"/>
      <w:pPr>
        <w:ind w:left="5038" w:hanging="360"/>
      </w:pPr>
      <w:rPr>
        <w:rFonts w:ascii="Symbol" w:hAnsi="Symbol" w:hint="default"/>
      </w:rPr>
    </w:lvl>
    <w:lvl w:ilvl="7" w:tplc="280A0003" w:tentative="1">
      <w:start w:val="1"/>
      <w:numFmt w:val="bullet"/>
      <w:lvlText w:val="o"/>
      <w:lvlJc w:val="left"/>
      <w:pPr>
        <w:ind w:left="5758" w:hanging="360"/>
      </w:pPr>
      <w:rPr>
        <w:rFonts w:ascii="Courier New" w:hAnsi="Courier New" w:cs="Courier New" w:hint="default"/>
      </w:rPr>
    </w:lvl>
    <w:lvl w:ilvl="8" w:tplc="280A0005" w:tentative="1">
      <w:start w:val="1"/>
      <w:numFmt w:val="bullet"/>
      <w:lvlText w:val=""/>
      <w:lvlJc w:val="left"/>
      <w:pPr>
        <w:ind w:left="6478" w:hanging="360"/>
      </w:pPr>
      <w:rPr>
        <w:rFonts w:ascii="Wingdings" w:hAnsi="Wingdings" w:hint="default"/>
      </w:rPr>
    </w:lvl>
  </w:abstractNum>
  <w:abstractNum w:abstractNumId="1" w15:restartNumberingAfterBreak="0">
    <w:nsid w:val="4D8F36F2"/>
    <w:multiLevelType w:val="hybridMultilevel"/>
    <w:tmpl w:val="5B50615C"/>
    <w:lvl w:ilvl="0" w:tplc="28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A9"/>
    <w:rsid w:val="00093B05"/>
    <w:rsid w:val="000B71F9"/>
    <w:rsid w:val="00281A24"/>
    <w:rsid w:val="002D44A9"/>
    <w:rsid w:val="003B584C"/>
    <w:rsid w:val="004329CE"/>
    <w:rsid w:val="00476DEC"/>
    <w:rsid w:val="0051593C"/>
    <w:rsid w:val="00962460"/>
    <w:rsid w:val="00AD3512"/>
    <w:rsid w:val="00DD6286"/>
    <w:rsid w:val="00E130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17BA"/>
  <w15:docId w15:val="{7AEE89CF-D22F-7D41-9F29-009F8590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ES_tradn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6">
    <w:name w:val="Table Normal"/>
    <w:next w:val="TableNormal5"/>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anipes.gob.pe/tilap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CpHfRupvFfgpexBeUL/PTZvQBg==">AMUW2mX17elFnl4cOu+VwZptSwSRSJhSqimij55dnFpIo6LTSGhqvkR4WsMqIKFN9E8upTPhD2c+dgXcbq+9RvA3DVzmmw6aHy5uYFPlxuilIKuHliSHW90=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3</cp:revision>
  <dcterms:created xsi:type="dcterms:W3CDTF">2023-04-24T21:26:00Z</dcterms:created>
  <dcterms:modified xsi:type="dcterms:W3CDTF">2023-04-24T21:36:00Z</dcterms:modified>
</cp:coreProperties>
</file>