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AFEB" w14:textId="5E3C4C71" w:rsidR="00D04591" w:rsidRPr="00C05EF7" w:rsidRDefault="002E7B14" w:rsidP="00784CD3">
      <w:pPr>
        <w:spacing w:after="0" w:line="240" w:lineRule="auto"/>
        <w:ind w:left="-426"/>
        <w:jc w:val="both"/>
        <w:rPr>
          <w:rFonts w:ascii="Roboto" w:hAnsi="Roboto"/>
          <w:b/>
          <w:bCs/>
          <w:noProof/>
        </w:rPr>
      </w:pPr>
      <w:r w:rsidRPr="00C05EF7">
        <w:rPr>
          <w:rFonts w:ascii="Roboto" w:hAnsi="Roboto"/>
          <w:b/>
          <w:bCs/>
          <w:noProof/>
          <w:lang w:eastAsia="es-PE"/>
        </w:rPr>
        <w:drawing>
          <wp:inline distT="0" distB="0" distL="0" distR="0" wp14:anchorId="356D752A" wp14:editId="63AB2CA4">
            <wp:extent cx="2164564" cy="455930"/>
            <wp:effectExtent l="0" t="0" r="7620" b="127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22" cy="4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EF7">
        <w:rPr>
          <w:rFonts w:ascii="Roboto" w:hAnsi="Roboto"/>
          <w:b/>
          <w:bCs/>
          <w:noProof/>
        </w:rPr>
        <w:t xml:space="preserve">               </w:t>
      </w:r>
      <w:r w:rsidR="00D04591" w:rsidRPr="00C05EF7">
        <w:rPr>
          <w:rFonts w:ascii="Roboto" w:hAnsi="Roboto"/>
          <w:b/>
          <w:bCs/>
          <w:noProof/>
        </w:rPr>
        <w:t xml:space="preserve">                         </w:t>
      </w:r>
    </w:p>
    <w:p w14:paraId="76745D3B" w14:textId="71B48EC1" w:rsidR="002C52A2" w:rsidRPr="00C05EF7" w:rsidRDefault="002C52A2" w:rsidP="00784CD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C05EF7">
        <w:rPr>
          <w:rFonts w:ascii="Arial" w:hAnsi="Arial" w:cs="Arial"/>
          <w:b/>
          <w:bCs/>
          <w:u w:val="single"/>
        </w:rPr>
        <w:t>NOTA DE PRENSA</w:t>
      </w:r>
    </w:p>
    <w:p w14:paraId="15FB7C03" w14:textId="77777777" w:rsidR="007E1233" w:rsidRPr="00C05EF7" w:rsidRDefault="007E1233" w:rsidP="00784CD3">
      <w:pPr>
        <w:spacing w:after="0" w:line="240" w:lineRule="auto"/>
        <w:jc w:val="center"/>
        <w:rPr>
          <w:rFonts w:ascii="Arial" w:hAnsi="Arial" w:cs="Arial"/>
          <w:bCs/>
        </w:rPr>
      </w:pPr>
    </w:p>
    <w:p w14:paraId="0337D862" w14:textId="407F09FC" w:rsidR="00C05EF7" w:rsidRPr="00C05EF7" w:rsidRDefault="00C05EF7" w:rsidP="00C05EF7">
      <w:pPr>
        <w:spacing w:after="0" w:line="240" w:lineRule="auto"/>
        <w:jc w:val="center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>En el marco de Con Punche Perú</w:t>
      </w:r>
    </w:p>
    <w:p w14:paraId="1074DF5A" w14:textId="77777777" w:rsidR="00C05EF7" w:rsidRPr="00C05EF7" w:rsidRDefault="00C05EF7" w:rsidP="00C05EF7">
      <w:pPr>
        <w:spacing w:after="0" w:line="240" w:lineRule="auto"/>
        <w:rPr>
          <w:rFonts w:ascii="Arial" w:hAnsi="Arial" w:cs="Arial"/>
          <w:bCs/>
        </w:rPr>
      </w:pPr>
    </w:p>
    <w:p w14:paraId="6EA93891" w14:textId="297561A1" w:rsidR="00C05EF7" w:rsidRPr="00C05EF7" w:rsidRDefault="00C05EF7" w:rsidP="00C05E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5EF7">
        <w:rPr>
          <w:rFonts w:ascii="Arial" w:hAnsi="Arial" w:cs="Arial"/>
          <w:b/>
          <w:bCs/>
          <w:sz w:val="28"/>
          <w:szCs w:val="28"/>
        </w:rPr>
        <w:t xml:space="preserve">Produce: A cerca </w:t>
      </w:r>
      <w:r w:rsidR="006E4C49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C05EF7">
        <w:rPr>
          <w:rFonts w:ascii="Arial" w:hAnsi="Arial" w:cs="Arial"/>
          <w:b/>
          <w:bCs/>
          <w:sz w:val="28"/>
          <w:szCs w:val="28"/>
        </w:rPr>
        <w:t>S/ 400 millones se incrementarán los recursos para la reactivación de las MYPE</w:t>
      </w:r>
    </w:p>
    <w:p w14:paraId="6CEBFE58" w14:textId="77777777" w:rsidR="00C05EF7" w:rsidRPr="00C05EF7" w:rsidRDefault="00C05EF7" w:rsidP="00C05EF7">
      <w:pPr>
        <w:spacing w:after="0" w:line="240" w:lineRule="auto"/>
        <w:rPr>
          <w:rFonts w:ascii="Arial" w:hAnsi="Arial" w:cs="Arial"/>
          <w:bCs/>
        </w:rPr>
      </w:pPr>
    </w:p>
    <w:p w14:paraId="0E0CC49A" w14:textId="0DEAF34C" w:rsidR="00C05EF7" w:rsidRPr="00C05EF7" w:rsidRDefault="00C05EF7" w:rsidP="00453626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</w:rPr>
      </w:pPr>
      <w:r w:rsidRPr="00C05EF7">
        <w:rPr>
          <w:rFonts w:ascii="Arial" w:hAnsi="Arial" w:cs="Arial"/>
          <w:bCs/>
          <w:i/>
        </w:rPr>
        <w:t>Informó el ministro Raúl Pérez Reyes, al indicar que, a través de los programas de compras estatales y los asociados a la innovación, se brinda apoyo a las MYPE para</w:t>
      </w:r>
      <w:r w:rsidR="00B44D9A">
        <w:rPr>
          <w:rFonts w:ascii="Arial" w:hAnsi="Arial" w:cs="Arial"/>
          <w:bCs/>
          <w:i/>
        </w:rPr>
        <w:t xml:space="preserve"> que </w:t>
      </w:r>
      <w:r w:rsidRPr="00C05EF7">
        <w:rPr>
          <w:rFonts w:ascii="Arial" w:hAnsi="Arial" w:cs="Arial"/>
          <w:bCs/>
          <w:i/>
        </w:rPr>
        <w:t>mejoren sus procesos y productos.</w:t>
      </w:r>
    </w:p>
    <w:p w14:paraId="18A40671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142E3684" w14:textId="0FEB1360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>El ministro de la Producción, Raúl Pérez Reyes, dio a conocer las acciones que desarrolla su sector con el objetivo de impulsar la reactivación de las MYPE</w:t>
      </w:r>
      <w:r>
        <w:rPr>
          <w:rFonts w:ascii="Arial" w:hAnsi="Arial" w:cs="Arial"/>
          <w:bCs/>
        </w:rPr>
        <w:t xml:space="preserve">. </w:t>
      </w:r>
      <w:r w:rsidRPr="00C05EF7">
        <w:rPr>
          <w:rFonts w:ascii="Arial" w:hAnsi="Arial" w:cs="Arial"/>
          <w:bCs/>
        </w:rPr>
        <w:t xml:space="preserve">En ese </w:t>
      </w:r>
      <w:r w:rsidR="00B44D9A">
        <w:rPr>
          <w:rFonts w:ascii="Arial" w:hAnsi="Arial" w:cs="Arial"/>
          <w:bCs/>
        </w:rPr>
        <w:t>sentido</w:t>
      </w:r>
      <w:r w:rsidRPr="00C05EF7">
        <w:rPr>
          <w:rFonts w:ascii="Arial" w:hAnsi="Arial" w:cs="Arial"/>
          <w:bCs/>
        </w:rPr>
        <w:t xml:space="preserve">, el titular de Produce indicó que los recursos destinados para este fin, en el marco del paquete de medidas </w:t>
      </w:r>
      <w:r w:rsidR="00B44D9A">
        <w:rPr>
          <w:rFonts w:ascii="Arial" w:hAnsi="Arial" w:cs="Arial"/>
          <w:bCs/>
        </w:rPr>
        <w:t xml:space="preserve">de </w:t>
      </w:r>
      <w:r w:rsidRPr="00C05EF7">
        <w:rPr>
          <w:rFonts w:ascii="Arial" w:hAnsi="Arial" w:cs="Arial"/>
          <w:bCs/>
        </w:rPr>
        <w:t xml:space="preserve">Con Punche Perú, se incrementará a alrededor de S/ 400 millones. </w:t>
      </w:r>
    </w:p>
    <w:p w14:paraId="4BEE202C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095516FF" w14:textId="65B6861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 xml:space="preserve">“Inicialmente el programa Con Punche Perú tenía un valor de aproximadamente S/ 250 millones; ahora acabamos de agregar S/ 50 millones para atender a los </w:t>
      </w:r>
      <w:proofErr w:type="spellStart"/>
      <w:r w:rsidRPr="00C05EF7">
        <w:rPr>
          <w:rFonts w:ascii="Arial" w:hAnsi="Arial" w:cs="Arial"/>
          <w:bCs/>
        </w:rPr>
        <w:t>maricultores</w:t>
      </w:r>
      <w:proofErr w:type="spellEnd"/>
      <w:r w:rsidRPr="00C05EF7">
        <w:rPr>
          <w:rFonts w:ascii="Arial" w:hAnsi="Arial" w:cs="Arial"/>
          <w:bCs/>
        </w:rPr>
        <w:t xml:space="preserve"> de la bahía de Sechura y con las compras estatales por S/ 100 millones del ministerio de Defensa, estamos hablando de casi 400 millones de soles”, explicó el ministro Pérez Reyes.</w:t>
      </w:r>
    </w:p>
    <w:p w14:paraId="205FF467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1C2FDD00" w14:textId="3A465024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 xml:space="preserve">Recalcó que el programa de Compras a </w:t>
      </w:r>
      <w:proofErr w:type="spellStart"/>
      <w:r w:rsidRPr="00C05EF7">
        <w:rPr>
          <w:rFonts w:ascii="Arial" w:hAnsi="Arial" w:cs="Arial"/>
          <w:bCs/>
        </w:rPr>
        <w:t>MYPErú</w:t>
      </w:r>
      <w:proofErr w:type="spellEnd"/>
      <w:r w:rsidRPr="00C05EF7">
        <w:rPr>
          <w:rFonts w:ascii="Arial" w:hAnsi="Arial" w:cs="Arial"/>
          <w:bCs/>
        </w:rPr>
        <w:t xml:space="preserve"> va a ayudar a la</w:t>
      </w:r>
      <w:r w:rsidR="00B44D9A">
        <w:rPr>
          <w:rFonts w:ascii="Arial" w:hAnsi="Arial" w:cs="Arial"/>
          <w:bCs/>
        </w:rPr>
        <w:t>s</w:t>
      </w:r>
      <w:r w:rsidRPr="00C05EF7">
        <w:rPr>
          <w:rFonts w:ascii="Arial" w:hAnsi="Arial" w:cs="Arial"/>
          <w:bCs/>
        </w:rPr>
        <w:t xml:space="preserve"> MYPE a salir de la problemática en la que se encuentran. “Estamos completando con los sectores para ver si podemos armar un paquete más grande de compras; el de la Policía Nacional del Perú</w:t>
      </w:r>
      <w:r w:rsidR="00B44D9A">
        <w:rPr>
          <w:rFonts w:ascii="Arial" w:hAnsi="Arial" w:cs="Arial"/>
          <w:bCs/>
        </w:rPr>
        <w:t>, que</w:t>
      </w:r>
      <w:r w:rsidRPr="00C05EF7">
        <w:rPr>
          <w:rFonts w:ascii="Arial" w:hAnsi="Arial" w:cs="Arial"/>
          <w:bCs/>
        </w:rPr>
        <w:t xml:space="preserve"> ya está aprobado, es por un valor de S/ 176 millones y estamos cerrando el del ministerio de Defensa”, indicó.</w:t>
      </w:r>
    </w:p>
    <w:p w14:paraId="733E0AB6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2E2DCD6C" w14:textId="367D5AC2" w:rsidR="00C05EF7" w:rsidRPr="00B44D9A" w:rsidRDefault="00C05EF7" w:rsidP="00C05E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44D9A">
        <w:rPr>
          <w:rFonts w:ascii="Arial" w:hAnsi="Arial" w:cs="Arial"/>
          <w:b/>
          <w:bCs/>
        </w:rPr>
        <w:t>Reglamento</w:t>
      </w:r>
    </w:p>
    <w:p w14:paraId="2E2E71E4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>De otro lado, el ministro de la Producción indicó que se está por publicar el reglamento de la Ley N° 31578, que establece que el 40% de las compras estatales en bienes tiene que ser hecha a micro y pequeñas empresas peruanas.</w:t>
      </w:r>
    </w:p>
    <w:p w14:paraId="46D40082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4E245C68" w14:textId="43335CAD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 xml:space="preserve">“Nuestra idea es que </w:t>
      </w:r>
      <w:r w:rsidR="00B44D9A">
        <w:rPr>
          <w:rFonts w:ascii="Arial" w:hAnsi="Arial" w:cs="Arial"/>
          <w:bCs/>
        </w:rPr>
        <w:t xml:space="preserve">este programa </w:t>
      </w:r>
      <w:r w:rsidRPr="00C05EF7">
        <w:rPr>
          <w:rFonts w:ascii="Arial" w:hAnsi="Arial" w:cs="Arial"/>
          <w:bCs/>
        </w:rPr>
        <w:t>no sirva como un subsidio, sino que sea un apoyo a la micro y pequeña empresa para que ella pueda levantar y desarrollarse</w:t>
      </w:r>
      <w:r w:rsidR="006E4C49">
        <w:rPr>
          <w:rFonts w:ascii="Arial" w:hAnsi="Arial" w:cs="Arial"/>
          <w:bCs/>
        </w:rPr>
        <w:t xml:space="preserve"> por sus propios medios</w:t>
      </w:r>
      <w:r w:rsidRPr="00C05EF7">
        <w:rPr>
          <w:rFonts w:ascii="Arial" w:hAnsi="Arial" w:cs="Arial"/>
          <w:bCs/>
        </w:rPr>
        <w:t>”, explicó.</w:t>
      </w:r>
    </w:p>
    <w:p w14:paraId="63F9F22C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06CC6D83" w14:textId="77777777" w:rsidR="00C05EF7" w:rsidRPr="00B44D9A" w:rsidRDefault="00C05EF7" w:rsidP="00C05E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44D9A">
        <w:rPr>
          <w:rFonts w:ascii="Arial" w:hAnsi="Arial" w:cs="Arial"/>
          <w:b/>
          <w:bCs/>
        </w:rPr>
        <w:t>Transición para el despegue de las MYPE</w:t>
      </w:r>
    </w:p>
    <w:p w14:paraId="6B91E0CD" w14:textId="385543EF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>“Un primer tema es el programa de compras estatales que ayuda a la transición para que haya un despegue de las micro y pequeñas empresas y luego están todos los programas asociados a la innovación, dirigidos a la mejora de procesos, de productos o</w:t>
      </w:r>
      <w:r w:rsidR="00B44D9A">
        <w:rPr>
          <w:rFonts w:ascii="Arial" w:hAnsi="Arial" w:cs="Arial"/>
          <w:bCs/>
        </w:rPr>
        <w:t xml:space="preserve"> a</w:t>
      </w:r>
      <w:r w:rsidRPr="00C05EF7">
        <w:rPr>
          <w:rFonts w:ascii="Arial" w:hAnsi="Arial" w:cs="Arial"/>
          <w:bCs/>
        </w:rPr>
        <w:t xml:space="preserve"> desarrollar nuevos productos”, resaltó el titular de Produce.</w:t>
      </w:r>
    </w:p>
    <w:p w14:paraId="566A0ABD" w14:textId="7777777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3D2ACEA6" w14:textId="24773EE7" w:rsidR="00C05EF7" w:rsidRPr="00C05EF7" w:rsidRDefault="00C05EF7" w:rsidP="00C05EF7">
      <w:pPr>
        <w:spacing w:after="0" w:line="240" w:lineRule="auto"/>
        <w:jc w:val="both"/>
        <w:rPr>
          <w:rFonts w:ascii="Arial" w:hAnsi="Arial" w:cs="Arial"/>
          <w:bCs/>
        </w:rPr>
      </w:pPr>
      <w:r w:rsidRPr="00C05EF7">
        <w:rPr>
          <w:rFonts w:ascii="Arial" w:hAnsi="Arial" w:cs="Arial"/>
          <w:bCs/>
        </w:rPr>
        <w:t xml:space="preserve">Precisó que a través de </w:t>
      </w:r>
      <w:proofErr w:type="spellStart"/>
      <w:r w:rsidRPr="00C05EF7">
        <w:rPr>
          <w:rFonts w:ascii="Arial" w:hAnsi="Arial" w:cs="Arial"/>
          <w:bCs/>
        </w:rPr>
        <w:t>Proinnóvate</w:t>
      </w:r>
      <w:proofErr w:type="spellEnd"/>
      <w:r w:rsidRPr="00C05EF7">
        <w:rPr>
          <w:rFonts w:ascii="Arial" w:hAnsi="Arial" w:cs="Arial"/>
          <w:bCs/>
        </w:rPr>
        <w:t xml:space="preserve"> y el Programa Nacional Tu Empresa se financia, en unos casos con asesoría, y en otros con fondos no reembolsable</w:t>
      </w:r>
      <w:r w:rsidR="006E4C49">
        <w:rPr>
          <w:rFonts w:ascii="Arial" w:hAnsi="Arial" w:cs="Arial"/>
          <w:bCs/>
        </w:rPr>
        <w:t>s</w:t>
      </w:r>
      <w:r w:rsidRPr="00C05EF7">
        <w:rPr>
          <w:rFonts w:ascii="Arial" w:hAnsi="Arial" w:cs="Arial"/>
          <w:bCs/>
        </w:rPr>
        <w:t>, con el fin de que las MYPES puedan desarrollar actividades</w:t>
      </w:r>
      <w:r w:rsidR="00B44D9A">
        <w:rPr>
          <w:rFonts w:ascii="Arial" w:hAnsi="Arial" w:cs="Arial"/>
          <w:bCs/>
        </w:rPr>
        <w:t xml:space="preserve"> </w:t>
      </w:r>
      <w:r w:rsidRPr="00C05EF7">
        <w:rPr>
          <w:rFonts w:ascii="Arial" w:hAnsi="Arial" w:cs="Arial"/>
          <w:bCs/>
        </w:rPr>
        <w:t>innovativas. “Lo importante es que concursen, planteen la idea, armen la propuesta y un jurado totalmente independiente y anónimo, evaluará esa propuesta y decidirá si merece ser financiada o no”, señaló.</w:t>
      </w:r>
    </w:p>
    <w:p w14:paraId="59682992" w14:textId="7F9C2F58" w:rsidR="004A0707" w:rsidRPr="00C05EF7" w:rsidRDefault="004A0707" w:rsidP="00C05EF7">
      <w:pPr>
        <w:spacing w:after="0" w:line="240" w:lineRule="auto"/>
        <w:jc w:val="both"/>
        <w:rPr>
          <w:rFonts w:ascii="Arial" w:hAnsi="Arial" w:cs="Arial"/>
          <w:bCs/>
        </w:rPr>
      </w:pPr>
    </w:p>
    <w:p w14:paraId="546D20B3" w14:textId="68BD4D86" w:rsidR="002E7B14" w:rsidRPr="00C05EF7" w:rsidRDefault="005406D8" w:rsidP="002E770E">
      <w:pPr>
        <w:spacing w:after="0" w:line="240" w:lineRule="auto"/>
        <w:jc w:val="right"/>
        <w:rPr>
          <w:rFonts w:ascii="Arial" w:eastAsia="Times New Roman" w:hAnsi="Arial" w:cs="Arial"/>
          <w:b/>
          <w:lang w:eastAsia="es-PE"/>
        </w:rPr>
      </w:pPr>
      <w:r w:rsidRPr="00C05EF7">
        <w:rPr>
          <w:rFonts w:ascii="Arial" w:hAnsi="Arial" w:cs="Arial"/>
          <w:b/>
          <w:bCs/>
        </w:rPr>
        <w:t>L</w:t>
      </w:r>
      <w:r w:rsidR="00D04591" w:rsidRPr="00C05EF7">
        <w:rPr>
          <w:rFonts w:ascii="Arial" w:eastAsia="Times New Roman" w:hAnsi="Arial" w:cs="Arial"/>
          <w:b/>
          <w:lang w:eastAsia="es-PE"/>
        </w:rPr>
        <w:t xml:space="preserve">ima, </w:t>
      </w:r>
      <w:r w:rsidR="006E3AEB" w:rsidRPr="00C05EF7">
        <w:rPr>
          <w:rFonts w:ascii="Arial" w:eastAsia="Times New Roman" w:hAnsi="Arial" w:cs="Arial"/>
          <w:b/>
          <w:lang w:eastAsia="es-PE"/>
        </w:rPr>
        <w:t>2</w:t>
      </w:r>
      <w:r w:rsidR="006E4C49">
        <w:rPr>
          <w:rFonts w:ascii="Arial" w:eastAsia="Times New Roman" w:hAnsi="Arial" w:cs="Arial"/>
          <w:b/>
          <w:lang w:eastAsia="es-PE"/>
        </w:rPr>
        <w:t xml:space="preserve">8 </w:t>
      </w:r>
      <w:r w:rsidR="006E3AEB" w:rsidRPr="00C05EF7">
        <w:rPr>
          <w:rFonts w:ascii="Arial" w:eastAsia="Times New Roman" w:hAnsi="Arial" w:cs="Arial"/>
          <w:b/>
          <w:lang w:eastAsia="es-PE"/>
        </w:rPr>
        <w:t>de</w:t>
      </w:r>
      <w:r w:rsidR="00A10C92" w:rsidRPr="00C05EF7">
        <w:rPr>
          <w:rFonts w:ascii="Arial" w:eastAsia="Times New Roman" w:hAnsi="Arial" w:cs="Arial"/>
          <w:b/>
          <w:lang w:eastAsia="es-PE"/>
        </w:rPr>
        <w:t xml:space="preserve"> ab</w:t>
      </w:r>
      <w:r w:rsidR="006E3AEB" w:rsidRPr="00C05EF7">
        <w:rPr>
          <w:rFonts w:ascii="Arial" w:eastAsia="Times New Roman" w:hAnsi="Arial" w:cs="Arial"/>
          <w:b/>
          <w:lang w:eastAsia="es-PE"/>
        </w:rPr>
        <w:t xml:space="preserve">ril </w:t>
      </w:r>
      <w:r w:rsidR="00AA1406" w:rsidRPr="00C05EF7">
        <w:rPr>
          <w:rFonts w:ascii="Arial" w:eastAsia="Times New Roman" w:hAnsi="Arial" w:cs="Arial"/>
          <w:b/>
          <w:lang w:eastAsia="es-PE"/>
        </w:rPr>
        <w:t>de</w:t>
      </w:r>
      <w:r w:rsidR="00C05EF7">
        <w:rPr>
          <w:rFonts w:ascii="Arial" w:eastAsia="Times New Roman" w:hAnsi="Arial" w:cs="Arial"/>
          <w:b/>
          <w:lang w:eastAsia="es-PE"/>
        </w:rPr>
        <w:t>l</w:t>
      </w:r>
      <w:r w:rsidR="00AA1406" w:rsidRPr="00C05EF7">
        <w:rPr>
          <w:rFonts w:ascii="Arial" w:eastAsia="Times New Roman" w:hAnsi="Arial" w:cs="Arial"/>
          <w:b/>
          <w:lang w:eastAsia="es-PE"/>
        </w:rPr>
        <w:t xml:space="preserve"> 2023</w:t>
      </w:r>
    </w:p>
    <w:p w14:paraId="4773E236" w14:textId="1BD1725F" w:rsidR="00A33EE5" w:rsidRPr="009A2012" w:rsidRDefault="00B73A71" w:rsidP="002E770E">
      <w:pPr>
        <w:spacing w:after="0" w:line="240" w:lineRule="auto"/>
        <w:jc w:val="right"/>
        <w:rPr>
          <w:rFonts w:ascii="Arial" w:eastAsia="Times New Roman" w:hAnsi="Arial" w:cs="Arial"/>
          <w:bCs/>
          <w:lang w:eastAsia="es-PE"/>
        </w:rPr>
      </w:pPr>
      <w:r w:rsidRPr="00C05EF7">
        <w:rPr>
          <w:rFonts w:ascii="Arial" w:eastAsia="Times New Roman" w:hAnsi="Arial" w:cs="Arial"/>
          <w:b/>
          <w:lang w:eastAsia="es-PE"/>
        </w:rPr>
        <w:t>OFICINA DE COMUNICACIONES E IMAGEN INSTITUCIONAL</w:t>
      </w:r>
      <w:r w:rsidR="009A2012" w:rsidRPr="009A2012">
        <w:rPr>
          <w:rFonts w:ascii="Arial" w:eastAsia="Times New Roman" w:hAnsi="Arial" w:cs="Arial"/>
          <w:b/>
          <w:lang w:eastAsia="es-PE"/>
        </w:rPr>
        <w:t xml:space="preserve"> </w:t>
      </w:r>
    </w:p>
    <w:p w14:paraId="0BA18EC3" w14:textId="77777777" w:rsidR="002D2742" w:rsidRPr="00065382" w:rsidRDefault="002D2742" w:rsidP="008A556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sectPr w:rsidR="002D2742" w:rsidRPr="00065382" w:rsidSect="00D0459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349"/>
    <w:multiLevelType w:val="hybridMultilevel"/>
    <w:tmpl w:val="1C844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6DEB"/>
    <w:multiLevelType w:val="hybridMultilevel"/>
    <w:tmpl w:val="3C747A06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5DC"/>
    <w:multiLevelType w:val="hybridMultilevel"/>
    <w:tmpl w:val="A18AC84E"/>
    <w:lvl w:ilvl="0" w:tplc="2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B8161B"/>
    <w:multiLevelType w:val="hybridMultilevel"/>
    <w:tmpl w:val="2DC67BC6"/>
    <w:lvl w:ilvl="0" w:tplc="5FDE2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0566A"/>
    <w:multiLevelType w:val="hybridMultilevel"/>
    <w:tmpl w:val="DDB063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85400"/>
    <w:multiLevelType w:val="hybridMultilevel"/>
    <w:tmpl w:val="94F4F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55BB4"/>
    <w:multiLevelType w:val="hybridMultilevel"/>
    <w:tmpl w:val="626C3008"/>
    <w:lvl w:ilvl="0" w:tplc="E34ED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7E9E"/>
    <w:multiLevelType w:val="hybridMultilevel"/>
    <w:tmpl w:val="AE7693C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22AB7"/>
    <w:multiLevelType w:val="hybridMultilevel"/>
    <w:tmpl w:val="EB4C6C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20066">
    <w:abstractNumId w:val="6"/>
  </w:num>
  <w:num w:numId="2" w16cid:durableId="1374892021">
    <w:abstractNumId w:val="0"/>
  </w:num>
  <w:num w:numId="3" w16cid:durableId="298655331">
    <w:abstractNumId w:val="5"/>
  </w:num>
  <w:num w:numId="4" w16cid:durableId="567033127">
    <w:abstractNumId w:val="7"/>
  </w:num>
  <w:num w:numId="5" w16cid:durableId="2024934003">
    <w:abstractNumId w:val="3"/>
  </w:num>
  <w:num w:numId="6" w16cid:durableId="734015190">
    <w:abstractNumId w:val="2"/>
  </w:num>
  <w:num w:numId="7" w16cid:durableId="1337340919">
    <w:abstractNumId w:val="1"/>
  </w:num>
  <w:num w:numId="8" w16cid:durableId="1563053234">
    <w:abstractNumId w:val="4"/>
  </w:num>
  <w:num w:numId="9" w16cid:durableId="275604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44"/>
    <w:rsid w:val="00030723"/>
    <w:rsid w:val="00034373"/>
    <w:rsid w:val="000429E2"/>
    <w:rsid w:val="00065382"/>
    <w:rsid w:val="0006708F"/>
    <w:rsid w:val="00085912"/>
    <w:rsid w:val="000B4E58"/>
    <w:rsid w:val="00101C64"/>
    <w:rsid w:val="00110D8F"/>
    <w:rsid w:val="00142681"/>
    <w:rsid w:val="00145A9C"/>
    <w:rsid w:val="00147CA3"/>
    <w:rsid w:val="001730C7"/>
    <w:rsid w:val="001751CD"/>
    <w:rsid w:val="00176CA3"/>
    <w:rsid w:val="00180173"/>
    <w:rsid w:val="00192265"/>
    <w:rsid w:val="001C62C2"/>
    <w:rsid w:val="00230FBD"/>
    <w:rsid w:val="00234008"/>
    <w:rsid w:val="00251118"/>
    <w:rsid w:val="00255446"/>
    <w:rsid w:val="002C52A2"/>
    <w:rsid w:val="002C769A"/>
    <w:rsid w:val="002C7BE0"/>
    <w:rsid w:val="002D00BC"/>
    <w:rsid w:val="002D2742"/>
    <w:rsid w:val="002D3B34"/>
    <w:rsid w:val="002E770E"/>
    <w:rsid w:val="002E7B14"/>
    <w:rsid w:val="003014E6"/>
    <w:rsid w:val="00301C0D"/>
    <w:rsid w:val="00313C2F"/>
    <w:rsid w:val="0032363A"/>
    <w:rsid w:val="0034384A"/>
    <w:rsid w:val="00355EE5"/>
    <w:rsid w:val="00374AE1"/>
    <w:rsid w:val="00384CD1"/>
    <w:rsid w:val="003D44BC"/>
    <w:rsid w:val="00416001"/>
    <w:rsid w:val="00425384"/>
    <w:rsid w:val="00470BA0"/>
    <w:rsid w:val="0048208E"/>
    <w:rsid w:val="004A0707"/>
    <w:rsid w:val="004A22C3"/>
    <w:rsid w:val="004A2DCA"/>
    <w:rsid w:val="004A413F"/>
    <w:rsid w:val="004C0FC6"/>
    <w:rsid w:val="004D48C0"/>
    <w:rsid w:val="004E1E5F"/>
    <w:rsid w:val="004E1ECC"/>
    <w:rsid w:val="004E40D9"/>
    <w:rsid w:val="004F4913"/>
    <w:rsid w:val="00511F46"/>
    <w:rsid w:val="005206C0"/>
    <w:rsid w:val="005406D8"/>
    <w:rsid w:val="005A4DC7"/>
    <w:rsid w:val="005A7ED3"/>
    <w:rsid w:val="005B133E"/>
    <w:rsid w:val="005D3ABB"/>
    <w:rsid w:val="005E5F36"/>
    <w:rsid w:val="005E7EE6"/>
    <w:rsid w:val="006121B3"/>
    <w:rsid w:val="00615C65"/>
    <w:rsid w:val="00621E07"/>
    <w:rsid w:val="006274FA"/>
    <w:rsid w:val="006A5CCB"/>
    <w:rsid w:val="006B5C3E"/>
    <w:rsid w:val="006B669B"/>
    <w:rsid w:val="006B69E7"/>
    <w:rsid w:val="006D3573"/>
    <w:rsid w:val="006D5D09"/>
    <w:rsid w:val="006D7EA9"/>
    <w:rsid w:val="006E3AEB"/>
    <w:rsid w:val="006E4C49"/>
    <w:rsid w:val="0073035D"/>
    <w:rsid w:val="00736406"/>
    <w:rsid w:val="00737182"/>
    <w:rsid w:val="007640DB"/>
    <w:rsid w:val="00771E66"/>
    <w:rsid w:val="00773FE8"/>
    <w:rsid w:val="007804F1"/>
    <w:rsid w:val="00784CD3"/>
    <w:rsid w:val="007A0B8B"/>
    <w:rsid w:val="007A76A5"/>
    <w:rsid w:val="007C4FE2"/>
    <w:rsid w:val="007E1233"/>
    <w:rsid w:val="007E2E44"/>
    <w:rsid w:val="007F0719"/>
    <w:rsid w:val="00853219"/>
    <w:rsid w:val="008656DB"/>
    <w:rsid w:val="00875426"/>
    <w:rsid w:val="008767D5"/>
    <w:rsid w:val="00895ED4"/>
    <w:rsid w:val="008A398B"/>
    <w:rsid w:val="008A5563"/>
    <w:rsid w:val="008D15FC"/>
    <w:rsid w:val="00910E89"/>
    <w:rsid w:val="009505F1"/>
    <w:rsid w:val="0097511F"/>
    <w:rsid w:val="009778FB"/>
    <w:rsid w:val="009A2012"/>
    <w:rsid w:val="009E7CB3"/>
    <w:rsid w:val="00A10C92"/>
    <w:rsid w:val="00A2239B"/>
    <w:rsid w:val="00A33EE5"/>
    <w:rsid w:val="00A43421"/>
    <w:rsid w:val="00A54C22"/>
    <w:rsid w:val="00A7146E"/>
    <w:rsid w:val="00A768F1"/>
    <w:rsid w:val="00A853D1"/>
    <w:rsid w:val="00AA1406"/>
    <w:rsid w:val="00AC1FB2"/>
    <w:rsid w:val="00AF3F55"/>
    <w:rsid w:val="00B03110"/>
    <w:rsid w:val="00B26A87"/>
    <w:rsid w:val="00B34B5D"/>
    <w:rsid w:val="00B3546D"/>
    <w:rsid w:val="00B44D9A"/>
    <w:rsid w:val="00B46A7F"/>
    <w:rsid w:val="00B735A5"/>
    <w:rsid w:val="00B73A71"/>
    <w:rsid w:val="00BA0C3D"/>
    <w:rsid w:val="00C05EF7"/>
    <w:rsid w:val="00C21E20"/>
    <w:rsid w:val="00C31A04"/>
    <w:rsid w:val="00C57E5F"/>
    <w:rsid w:val="00C75E3F"/>
    <w:rsid w:val="00C8206E"/>
    <w:rsid w:val="00C8300D"/>
    <w:rsid w:val="00CA5D0F"/>
    <w:rsid w:val="00CB1A64"/>
    <w:rsid w:val="00CD0E9A"/>
    <w:rsid w:val="00CD668C"/>
    <w:rsid w:val="00CF4722"/>
    <w:rsid w:val="00CF6E14"/>
    <w:rsid w:val="00D04591"/>
    <w:rsid w:val="00D10BC7"/>
    <w:rsid w:val="00D1489C"/>
    <w:rsid w:val="00D24C9D"/>
    <w:rsid w:val="00D5029E"/>
    <w:rsid w:val="00D75042"/>
    <w:rsid w:val="00D9387F"/>
    <w:rsid w:val="00D95847"/>
    <w:rsid w:val="00DA58B7"/>
    <w:rsid w:val="00DB2EE4"/>
    <w:rsid w:val="00DE0AA4"/>
    <w:rsid w:val="00E07DFD"/>
    <w:rsid w:val="00E645A5"/>
    <w:rsid w:val="00E74B75"/>
    <w:rsid w:val="00EA2282"/>
    <w:rsid w:val="00EB427B"/>
    <w:rsid w:val="00ED0085"/>
    <w:rsid w:val="00F03470"/>
    <w:rsid w:val="00F52940"/>
    <w:rsid w:val="00F83A05"/>
    <w:rsid w:val="00F8655C"/>
    <w:rsid w:val="00FA02F1"/>
    <w:rsid w:val="00FA39B2"/>
    <w:rsid w:val="00FC1D6D"/>
    <w:rsid w:val="00FC476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C77B"/>
  <w15:chartTrackingRefBased/>
  <w15:docId w15:val="{563A507D-7ADC-44E5-A275-362F039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6E14"/>
    <w:rPr>
      <w:b/>
      <w:bCs/>
    </w:rPr>
  </w:style>
  <w:style w:type="paragraph" w:styleId="Prrafodelista">
    <w:name w:val="List Paragraph"/>
    <w:aliases w:val="Cuadro 2-1,Párrafo de lista2,N°,Viñeta,TITULO A,Párrafo de lista21,Titulo 1,Párrafo de Lista,Párrafo de lista1,Titulo1,Titulo de Fígura,Lista 123,ESTILO2,List Paragraph,Colorful List - Accent 11,Conclusiones,paul2,Cuadro N,Bolita,BOLA,N"/>
    <w:basedOn w:val="Normal"/>
    <w:link w:val="PrrafodelistaCar"/>
    <w:uiPriority w:val="34"/>
    <w:qFormat/>
    <w:rsid w:val="00110D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E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EE5"/>
    <w:rPr>
      <w:color w:val="605E5C"/>
      <w:shd w:val="clear" w:color="auto" w:fill="E1DFDD"/>
    </w:rPr>
  </w:style>
  <w:style w:type="character" w:customStyle="1" w:styleId="PrrafodelistaCar">
    <w:name w:val="Párrafo de lista Car"/>
    <w:aliases w:val="Cuadro 2-1 Car,Párrafo de lista2 Car,N° Car,Viñeta Car,TITULO A Car,Párrafo de lista21 Car,Titulo 1 Car,Párrafo de Lista Car,Párrafo de lista1 Car,Titulo1 Car,Titulo de Fígura Car,Lista 123 Car,ESTILO2 Car,List Paragraph Car,N Car"/>
    <w:basedOn w:val="Fuentedeprrafopredeter"/>
    <w:link w:val="Prrafodelista"/>
    <w:uiPriority w:val="34"/>
    <w:qFormat/>
    <w:rsid w:val="00FC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37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1077760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6644108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PNACP</dc:creator>
  <cp:keywords/>
  <dc:description/>
  <cp:lastModifiedBy>Isabel Tarazona Adanaqué</cp:lastModifiedBy>
  <cp:revision>2</cp:revision>
  <dcterms:created xsi:type="dcterms:W3CDTF">2023-04-28T16:28:00Z</dcterms:created>
  <dcterms:modified xsi:type="dcterms:W3CDTF">2023-04-28T16:28:00Z</dcterms:modified>
</cp:coreProperties>
</file>