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6C" w:rsidRDefault="00554130">
      <w:pPr>
        <w:ind w:left="0" w:hanging="2"/>
        <w:jc w:val="center"/>
        <w:rPr>
          <w:rFonts w:ascii="Arial" w:eastAsia="Arial" w:hAnsi="Arial" w:cs="Arial"/>
          <w:b/>
          <w:sz w:val="24"/>
          <w:szCs w:val="24"/>
          <w:u w:val="single"/>
        </w:rPr>
      </w:pPr>
      <w:r>
        <w:rPr>
          <w:rFonts w:ascii="Arial" w:eastAsia="Arial" w:hAnsi="Arial" w:cs="Arial"/>
          <w:b/>
          <w:sz w:val="24"/>
          <w:szCs w:val="24"/>
          <w:u w:val="single"/>
        </w:rPr>
        <w:t>Nota de Prensa</w:t>
      </w:r>
    </w:p>
    <w:p w:rsidR="00EA276C" w:rsidRDefault="00554130">
      <w:pPr>
        <w:pBdr>
          <w:top w:val="nil"/>
          <w:left w:val="nil"/>
          <w:bottom w:val="nil"/>
          <w:right w:val="nil"/>
          <w:between w:val="nil"/>
        </w:pBdr>
        <w:spacing w:after="0" w:line="240" w:lineRule="auto"/>
        <w:ind w:left="1" w:hanging="3"/>
        <w:jc w:val="center"/>
        <w:rPr>
          <w:rFonts w:ascii="Arial" w:eastAsia="Arial" w:hAnsi="Arial" w:cs="Arial"/>
          <w:b/>
          <w:color w:val="000000"/>
          <w:sz w:val="30"/>
          <w:szCs w:val="30"/>
        </w:rPr>
      </w:pPr>
      <w:r>
        <w:rPr>
          <w:rFonts w:ascii="Arial" w:eastAsia="Arial" w:hAnsi="Arial" w:cs="Arial"/>
          <w:b/>
          <w:color w:val="000000"/>
          <w:sz w:val="30"/>
          <w:szCs w:val="30"/>
        </w:rPr>
        <w:t xml:space="preserve">Sanipes impulsa la pesca artesanal para afrontar el </w:t>
      </w:r>
      <w:r>
        <w:rPr>
          <w:rFonts w:ascii="Arial" w:eastAsia="Arial" w:hAnsi="Arial" w:cs="Arial"/>
          <w:b/>
          <w:sz w:val="30"/>
          <w:szCs w:val="30"/>
        </w:rPr>
        <w:t>fenómeno</w:t>
      </w:r>
      <w:r w:rsidR="00E656F6">
        <w:rPr>
          <w:rFonts w:ascii="Arial" w:eastAsia="Arial" w:hAnsi="Arial" w:cs="Arial"/>
          <w:b/>
          <w:color w:val="000000"/>
          <w:sz w:val="30"/>
          <w:szCs w:val="30"/>
        </w:rPr>
        <w:t xml:space="preserve"> </w:t>
      </w:r>
      <w:r>
        <w:rPr>
          <w:rFonts w:ascii="Arial" w:eastAsia="Arial" w:hAnsi="Arial" w:cs="Arial"/>
          <w:b/>
          <w:color w:val="000000"/>
          <w:sz w:val="30"/>
          <w:szCs w:val="30"/>
        </w:rPr>
        <w:t>El Niño</w:t>
      </w:r>
    </w:p>
    <w:p w:rsidR="00EA276C" w:rsidRDefault="00E656F6">
      <w:pPr>
        <w:pBdr>
          <w:top w:val="nil"/>
          <w:left w:val="nil"/>
          <w:bottom w:val="nil"/>
          <w:right w:val="nil"/>
          <w:between w:val="nil"/>
        </w:pBdr>
        <w:spacing w:after="0" w:line="240" w:lineRule="auto"/>
        <w:ind w:left="0" w:hanging="2"/>
        <w:jc w:val="both"/>
        <w:rPr>
          <w:rFonts w:ascii="Arial" w:eastAsia="Arial" w:hAnsi="Arial" w:cs="Arial"/>
          <w:i/>
          <w:color w:val="000000"/>
          <w:sz w:val="21"/>
          <w:szCs w:val="21"/>
        </w:rPr>
      </w:pPr>
      <w:r>
        <w:rPr>
          <w:rFonts w:ascii="Arial" w:eastAsia="Arial" w:hAnsi="Arial" w:cs="Arial"/>
          <w:i/>
          <w:color w:val="000000"/>
          <w:sz w:val="21"/>
          <w:szCs w:val="21"/>
        </w:rPr>
        <w:t>La entidad c</w:t>
      </w:r>
      <w:r w:rsidR="00554130">
        <w:rPr>
          <w:rFonts w:ascii="Arial" w:eastAsia="Arial" w:hAnsi="Arial" w:cs="Arial"/>
          <w:i/>
          <w:color w:val="000000"/>
          <w:sz w:val="21"/>
          <w:szCs w:val="21"/>
        </w:rPr>
        <w:t xml:space="preserve">olabora con los pescadores artesanales para </w:t>
      </w:r>
      <w:r>
        <w:rPr>
          <w:rFonts w:ascii="Arial" w:eastAsia="Arial" w:hAnsi="Arial" w:cs="Arial"/>
          <w:i/>
          <w:color w:val="000000"/>
          <w:sz w:val="21"/>
          <w:szCs w:val="21"/>
        </w:rPr>
        <w:t>que</w:t>
      </w:r>
      <w:r w:rsidR="00554130">
        <w:rPr>
          <w:rFonts w:ascii="Arial" w:eastAsia="Arial" w:hAnsi="Arial" w:cs="Arial"/>
          <w:i/>
          <w:color w:val="000000"/>
          <w:sz w:val="21"/>
          <w:szCs w:val="21"/>
        </w:rPr>
        <w:t xml:space="preserve"> obten</w:t>
      </w:r>
      <w:r>
        <w:rPr>
          <w:rFonts w:ascii="Arial" w:eastAsia="Arial" w:hAnsi="Arial" w:cs="Arial"/>
          <w:i/>
          <w:color w:val="000000"/>
          <w:sz w:val="21"/>
          <w:szCs w:val="21"/>
        </w:rPr>
        <w:t>gan</w:t>
      </w:r>
      <w:r w:rsidR="00554130">
        <w:rPr>
          <w:rFonts w:ascii="Arial" w:eastAsia="Arial" w:hAnsi="Arial" w:cs="Arial"/>
          <w:i/>
          <w:color w:val="000000"/>
          <w:sz w:val="21"/>
          <w:szCs w:val="21"/>
        </w:rPr>
        <w:t xml:space="preserve"> de la habilitación sanitaria </w:t>
      </w:r>
    </w:p>
    <w:p w:rsidR="00EA276C" w:rsidRDefault="00554130">
      <w:pPr>
        <w:pBdr>
          <w:top w:val="nil"/>
          <w:left w:val="nil"/>
          <w:bottom w:val="nil"/>
          <w:right w:val="nil"/>
          <w:between w:val="nil"/>
        </w:pBdr>
        <w:spacing w:after="0" w:line="240" w:lineRule="auto"/>
        <w:ind w:left="0" w:hanging="2"/>
        <w:jc w:val="both"/>
        <w:rPr>
          <w:rFonts w:ascii="Arial" w:eastAsia="Arial" w:hAnsi="Arial" w:cs="Arial"/>
          <w:i/>
          <w:color w:val="000000"/>
          <w:sz w:val="10"/>
          <w:szCs w:val="10"/>
        </w:rPr>
      </w:pPr>
      <w:bookmarkStart w:id="0" w:name="_heading=h.30j0zll" w:colFirst="0" w:colLast="0"/>
      <w:bookmarkEnd w:id="0"/>
      <w:r>
        <w:rPr>
          <w:rFonts w:ascii="Arial" w:eastAsia="Arial" w:hAnsi="Arial" w:cs="Arial"/>
          <w:i/>
          <w:color w:val="000000"/>
          <w:sz w:val="21"/>
          <w:szCs w:val="21"/>
        </w:rPr>
        <w:t xml:space="preserve"> </w:t>
      </w:r>
    </w:p>
    <w:p w:rsidR="00E656F6" w:rsidRPr="00E656F6" w:rsidRDefault="00E656F6" w:rsidP="00E656F6">
      <w:pPr>
        <w:pStyle w:val="Sinespaciado"/>
        <w:ind w:left="0" w:hanging="2"/>
        <w:jc w:val="both"/>
        <w:rPr>
          <w:rFonts w:ascii="Arial" w:hAnsi="Arial" w:cs="Arial"/>
          <w:sz w:val="21"/>
          <w:szCs w:val="21"/>
        </w:rPr>
      </w:pPr>
      <w:r w:rsidRPr="00E656F6">
        <w:rPr>
          <w:rFonts w:ascii="Arial" w:hAnsi="Arial" w:cs="Arial"/>
          <w:sz w:val="21"/>
          <w:szCs w:val="21"/>
        </w:rPr>
        <w:t xml:space="preserve">El Organismo Nacional de Sanidad Pesquera (Sanipes), entidad adscrita al Ministerio de la Producción, </w:t>
      </w:r>
      <w:r w:rsidR="00136EA4">
        <w:rPr>
          <w:rFonts w:ascii="Arial" w:hAnsi="Arial" w:cs="Arial"/>
          <w:sz w:val="21"/>
          <w:szCs w:val="21"/>
        </w:rPr>
        <w:t>viene</w:t>
      </w:r>
      <w:r w:rsidRPr="00E656F6">
        <w:rPr>
          <w:rFonts w:ascii="Arial" w:hAnsi="Arial" w:cs="Arial"/>
          <w:sz w:val="21"/>
          <w:szCs w:val="21"/>
        </w:rPr>
        <w:t xml:space="preserve"> promoviendo la formalización de la pesca artesanal a través de la emisión de habilitaciones sanitarias para embarcaciones pesqueras y acuícolas. Esta iniciativa no solo beneficia a los pescadores, sino también a los consumidores, asegurando que obtengan productos saludables e inocuos.</w:t>
      </w:r>
    </w:p>
    <w:p w:rsidR="00E656F6" w:rsidRPr="00E656F6" w:rsidRDefault="00E656F6" w:rsidP="00E656F6">
      <w:pPr>
        <w:pStyle w:val="Sinespaciado"/>
        <w:jc w:val="both"/>
        <w:rPr>
          <w:rFonts w:ascii="Arial" w:hAnsi="Arial" w:cs="Arial"/>
          <w:sz w:val="10"/>
          <w:szCs w:val="10"/>
        </w:rPr>
      </w:pPr>
    </w:p>
    <w:p w:rsidR="00E656F6" w:rsidRPr="00E656F6" w:rsidRDefault="00E656F6" w:rsidP="00E656F6">
      <w:pPr>
        <w:pStyle w:val="Sinespaciado"/>
        <w:ind w:left="0" w:hanging="2"/>
        <w:jc w:val="both"/>
        <w:rPr>
          <w:rFonts w:ascii="Arial" w:hAnsi="Arial" w:cs="Arial"/>
          <w:sz w:val="21"/>
          <w:szCs w:val="21"/>
        </w:rPr>
      </w:pPr>
      <w:r w:rsidRPr="00E656F6">
        <w:rPr>
          <w:rFonts w:ascii="Arial" w:hAnsi="Arial" w:cs="Arial"/>
          <w:sz w:val="21"/>
          <w:szCs w:val="21"/>
        </w:rPr>
        <w:t>Este proceso también brinda una oportunidad de mejora económica para los pescadores artesanales, ya que agrega valor a sus productos y tiene un impacto positivo en la economía local, lo que les permitirá afrontar los desafíos relacionados con la llegada del fenómeno El Niño y los cambios climáticos.</w:t>
      </w:r>
    </w:p>
    <w:p w:rsidR="00E656F6" w:rsidRPr="00E656F6" w:rsidRDefault="00E656F6" w:rsidP="00E656F6">
      <w:pPr>
        <w:pStyle w:val="Sinespaciado"/>
        <w:jc w:val="both"/>
        <w:rPr>
          <w:rFonts w:ascii="Arial" w:hAnsi="Arial" w:cs="Arial"/>
          <w:sz w:val="10"/>
          <w:szCs w:val="10"/>
        </w:rPr>
      </w:pPr>
    </w:p>
    <w:p w:rsidR="00E656F6" w:rsidRPr="00E656F6" w:rsidRDefault="00E656F6" w:rsidP="00E656F6">
      <w:pPr>
        <w:pStyle w:val="Sinespaciado"/>
        <w:ind w:left="0" w:hanging="2"/>
        <w:jc w:val="both"/>
        <w:rPr>
          <w:rFonts w:ascii="Arial" w:hAnsi="Arial" w:cs="Arial"/>
          <w:sz w:val="21"/>
          <w:szCs w:val="21"/>
        </w:rPr>
      </w:pPr>
      <w:r w:rsidRPr="00E656F6">
        <w:rPr>
          <w:rFonts w:ascii="Arial" w:hAnsi="Arial" w:cs="Arial"/>
          <w:sz w:val="21"/>
          <w:szCs w:val="21"/>
        </w:rPr>
        <w:t>Solo en la región de Piura, se ha logrado habilitar exitosamente 1593 embarcaciones artesanales. Esto garantiza que las operaciones de manipulación, almacenamiento y transporte de los productos hidrobiológicos cumplan con las normativa sanitaria vigente.</w:t>
      </w:r>
    </w:p>
    <w:p w:rsidR="00EA276C" w:rsidRPr="00E656F6" w:rsidRDefault="00EA276C" w:rsidP="00E656F6">
      <w:pPr>
        <w:pStyle w:val="Sinespaciado"/>
        <w:jc w:val="both"/>
        <w:rPr>
          <w:rFonts w:ascii="Arial" w:hAnsi="Arial" w:cs="Arial"/>
          <w:sz w:val="10"/>
          <w:szCs w:val="10"/>
        </w:rPr>
      </w:pPr>
    </w:p>
    <w:p w:rsidR="00EA276C" w:rsidRPr="00E656F6" w:rsidRDefault="00554130" w:rsidP="00E656F6">
      <w:pPr>
        <w:pStyle w:val="Sinespaciado"/>
        <w:ind w:left="0" w:hanging="2"/>
        <w:jc w:val="both"/>
        <w:rPr>
          <w:rFonts w:ascii="Arial" w:hAnsi="Arial" w:cs="Arial"/>
          <w:sz w:val="21"/>
          <w:szCs w:val="21"/>
        </w:rPr>
      </w:pPr>
      <w:r w:rsidRPr="00E656F6">
        <w:rPr>
          <w:rFonts w:ascii="Arial" w:hAnsi="Arial" w:cs="Arial"/>
          <w:sz w:val="21"/>
          <w:szCs w:val="21"/>
        </w:rPr>
        <w:t>El presidente ejecutivo de Sanipes, Víctor Haro Corales, manifestó que la habilitación sanitaria de embarcaciones pesqueras artesanales juega un papel crucial en el respaldo a la extracción de especies en el litoral peruano. El proceso se enfoca en asegurar que la manipulación, almacenamiento y transporte de los productos pesqueros, cumplan con la norma sanitaria.</w:t>
      </w:r>
    </w:p>
    <w:p w:rsidR="00EA276C" w:rsidRDefault="00EA276C">
      <w:pPr>
        <w:pBdr>
          <w:top w:val="nil"/>
          <w:left w:val="nil"/>
          <w:bottom w:val="nil"/>
          <w:right w:val="nil"/>
          <w:between w:val="nil"/>
        </w:pBdr>
        <w:spacing w:after="0" w:line="240" w:lineRule="auto"/>
        <w:jc w:val="both"/>
        <w:rPr>
          <w:rFonts w:ascii="Arial" w:eastAsia="Arial" w:hAnsi="Arial" w:cs="Arial"/>
          <w:color w:val="000000"/>
          <w:sz w:val="10"/>
          <w:szCs w:val="10"/>
        </w:rPr>
      </w:pPr>
    </w:p>
    <w:p w:rsidR="00EA276C" w:rsidRPr="00136EA4" w:rsidRDefault="00554130" w:rsidP="00136EA4">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“La correcta auditoría de las infraestructuras artesanales para su formalización va dando sus frutos, robusteciendo la pesca artesanal en Perú y asegurando un futuro más seguro y sostenible para esta vital industria”, añadió Haro Corales.</w:t>
      </w:r>
      <w:bookmarkStart w:id="1" w:name="_GoBack"/>
      <w:bookmarkEnd w:id="1"/>
    </w:p>
    <w:p w:rsidR="00EA276C" w:rsidRDefault="00EA276C" w:rsidP="00136EA4">
      <w:pPr>
        <w:pBdr>
          <w:top w:val="nil"/>
          <w:left w:val="nil"/>
          <w:bottom w:val="nil"/>
          <w:right w:val="nil"/>
          <w:between w:val="nil"/>
        </w:pBdr>
        <w:spacing w:after="0" w:line="240" w:lineRule="auto"/>
        <w:ind w:leftChars="0" w:left="0" w:firstLineChars="0" w:firstLine="0"/>
        <w:jc w:val="both"/>
        <w:rPr>
          <w:rFonts w:ascii="Arial" w:eastAsia="Arial" w:hAnsi="Arial" w:cs="Arial"/>
          <w:color w:val="212121"/>
          <w:sz w:val="21"/>
          <w:szCs w:val="21"/>
        </w:rPr>
      </w:pPr>
    </w:p>
    <w:p w:rsidR="00EA276C" w:rsidRDefault="00554130">
      <w:pPr>
        <w:pBdr>
          <w:top w:val="nil"/>
          <w:left w:val="nil"/>
          <w:bottom w:val="nil"/>
          <w:right w:val="nil"/>
          <w:between w:val="nil"/>
        </w:pBdr>
        <w:spacing w:after="0" w:line="240" w:lineRule="auto"/>
        <w:ind w:left="0" w:hanging="2"/>
        <w:jc w:val="both"/>
        <w:rPr>
          <w:rFonts w:ascii="Arial" w:eastAsia="Arial" w:hAnsi="Arial" w:cs="Arial"/>
          <w:b/>
          <w:color w:val="212121"/>
          <w:sz w:val="21"/>
          <w:szCs w:val="21"/>
        </w:rPr>
      </w:pPr>
      <w:r>
        <w:rPr>
          <w:rFonts w:ascii="Arial" w:eastAsia="Arial" w:hAnsi="Arial" w:cs="Arial"/>
          <w:b/>
          <w:color w:val="000000"/>
          <w:sz w:val="21"/>
          <w:szCs w:val="21"/>
        </w:rPr>
        <w:t>La Habilitación Sanitaria</w:t>
      </w:r>
    </w:p>
    <w:p w:rsidR="00AB0E09" w:rsidRDefault="00554130">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Pr>
          <w:rFonts w:ascii="Arial" w:eastAsia="Arial" w:hAnsi="Arial" w:cs="Arial"/>
          <w:color w:val="000000"/>
          <w:sz w:val="21"/>
          <w:szCs w:val="21"/>
        </w:rPr>
        <w:t>Es un proceso minucioso de verificación que abarca diseño, construcción, equipamiento y operaciones de infraestructuras pesqueras y acuícolas. Estas verificaciones se realizan para garantizar el cumplimiento de los requisitos sanitarios establecidos en las regulaciones vigentes</w:t>
      </w:r>
      <w:r w:rsidR="00AB0E09">
        <w:rPr>
          <w:rFonts w:ascii="Arial" w:eastAsia="Arial" w:hAnsi="Arial" w:cs="Arial"/>
          <w:color w:val="000000"/>
          <w:sz w:val="21"/>
          <w:szCs w:val="21"/>
        </w:rPr>
        <w:t>. El resultado final y positivo de las auditorías culminará con la emisión de un Protocolo Técnico de Habilitación Sanitaria.</w:t>
      </w:r>
      <w:r>
        <w:rPr>
          <w:rFonts w:ascii="Arial" w:eastAsia="Arial" w:hAnsi="Arial" w:cs="Arial"/>
          <w:color w:val="000000"/>
          <w:sz w:val="21"/>
          <w:szCs w:val="21"/>
        </w:rPr>
        <w:t xml:space="preserve"> </w:t>
      </w:r>
    </w:p>
    <w:p w:rsidR="00EA276C" w:rsidRDefault="00EA276C">
      <w:pPr>
        <w:pBdr>
          <w:top w:val="nil"/>
          <w:left w:val="nil"/>
          <w:bottom w:val="nil"/>
          <w:right w:val="nil"/>
          <w:between w:val="nil"/>
        </w:pBdr>
        <w:spacing w:after="0" w:line="240" w:lineRule="auto"/>
        <w:jc w:val="both"/>
        <w:rPr>
          <w:rFonts w:ascii="Arial" w:eastAsia="Arial" w:hAnsi="Arial" w:cs="Arial"/>
          <w:color w:val="000000"/>
          <w:sz w:val="10"/>
          <w:szCs w:val="10"/>
        </w:rPr>
      </w:pPr>
    </w:p>
    <w:p w:rsidR="00EA276C" w:rsidRDefault="00AB0E09">
      <w:pPr>
        <w:pBdr>
          <w:top w:val="nil"/>
          <w:left w:val="nil"/>
          <w:bottom w:val="nil"/>
          <w:right w:val="nil"/>
          <w:between w:val="nil"/>
        </w:pBdr>
        <w:spacing w:after="0" w:line="240" w:lineRule="auto"/>
        <w:ind w:left="0" w:hanging="2"/>
        <w:jc w:val="both"/>
        <w:rPr>
          <w:rFonts w:ascii="Arial" w:eastAsia="Arial" w:hAnsi="Arial" w:cs="Arial"/>
          <w:color w:val="212121"/>
          <w:sz w:val="21"/>
          <w:szCs w:val="21"/>
        </w:rPr>
      </w:pPr>
      <w:r>
        <w:rPr>
          <w:rFonts w:asciiTheme="majorHAnsi" w:eastAsia="Arial" w:hAnsiTheme="majorHAnsi" w:cstheme="majorHAnsi"/>
          <w:color w:val="000000"/>
          <w:sz w:val="24"/>
          <w:szCs w:val="24"/>
        </w:rPr>
        <w:t xml:space="preserve">Todos los interesados en obtener la habilitación sanitaria pueden solicitarla, de manera gratuita, a través del </w:t>
      </w:r>
      <w:r w:rsidRPr="0010442B">
        <w:rPr>
          <w:rFonts w:asciiTheme="majorHAnsi" w:eastAsia="Arial" w:hAnsiTheme="majorHAnsi" w:cstheme="majorHAnsi"/>
          <w:color w:val="000000"/>
          <w:sz w:val="24"/>
          <w:szCs w:val="24"/>
        </w:rPr>
        <w:t>TUPA 23</w:t>
      </w:r>
      <w:r>
        <w:rPr>
          <w:rFonts w:asciiTheme="majorHAnsi" w:eastAsia="Arial" w:hAnsiTheme="majorHAnsi" w:cstheme="majorHAnsi"/>
          <w:color w:val="000000"/>
          <w:sz w:val="24"/>
          <w:szCs w:val="24"/>
        </w:rPr>
        <w:t xml:space="preserve">, </w:t>
      </w:r>
      <w:r w:rsidRPr="0010442B">
        <w:rPr>
          <w:rFonts w:asciiTheme="majorHAnsi" w:eastAsia="Arial" w:hAnsiTheme="majorHAnsi" w:cstheme="majorHAnsi"/>
          <w:color w:val="000000"/>
          <w:sz w:val="24"/>
          <w:szCs w:val="24"/>
        </w:rPr>
        <w:t xml:space="preserve">ingresando al </w:t>
      </w:r>
      <w:r>
        <w:rPr>
          <w:rFonts w:asciiTheme="majorHAnsi" w:eastAsia="Arial" w:hAnsiTheme="majorHAnsi" w:cstheme="majorHAnsi"/>
          <w:color w:val="000000"/>
          <w:sz w:val="24"/>
          <w:szCs w:val="24"/>
        </w:rPr>
        <w:t xml:space="preserve">siguiente enlace: </w:t>
      </w:r>
      <w:hyperlink r:id="rId7">
        <w:r w:rsidR="00554130">
          <w:rPr>
            <w:rFonts w:ascii="Arial" w:eastAsia="Arial" w:hAnsi="Arial" w:cs="Arial"/>
            <w:color w:val="0563C1"/>
            <w:sz w:val="21"/>
            <w:szCs w:val="21"/>
            <w:u w:val="single"/>
          </w:rPr>
          <w:t>https://www.sanipes.gob.pe/tupa/tupa__23.php</w:t>
        </w:r>
      </w:hyperlink>
      <w:r w:rsidR="00554130">
        <w:rPr>
          <w:rFonts w:ascii="Arial" w:eastAsia="Arial" w:hAnsi="Arial" w:cs="Arial"/>
          <w:color w:val="000000"/>
          <w:sz w:val="21"/>
          <w:szCs w:val="21"/>
        </w:rPr>
        <w:t xml:space="preserve">, </w:t>
      </w:r>
      <w:r>
        <w:rPr>
          <w:rFonts w:ascii="Arial" w:eastAsia="Arial" w:hAnsi="Arial" w:cs="Arial"/>
          <w:color w:val="000000"/>
          <w:sz w:val="21"/>
          <w:szCs w:val="21"/>
        </w:rPr>
        <w:t>y</w:t>
      </w:r>
      <w:r w:rsidR="00554130">
        <w:rPr>
          <w:rFonts w:ascii="Arial" w:eastAsia="Arial" w:hAnsi="Arial" w:cs="Arial"/>
          <w:color w:val="000000"/>
          <w:sz w:val="21"/>
          <w:szCs w:val="21"/>
        </w:rPr>
        <w:t xml:space="preserve"> las </w:t>
      </w:r>
      <w:r w:rsidR="00554130">
        <w:rPr>
          <w:rFonts w:ascii="Arial" w:eastAsia="Arial" w:hAnsi="Arial" w:cs="Arial"/>
          <w:sz w:val="21"/>
          <w:szCs w:val="21"/>
        </w:rPr>
        <w:t>guías</w:t>
      </w:r>
      <w:r w:rsidR="00554130">
        <w:rPr>
          <w:rFonts w:ascii="Arial" w:eastAsia="Arial" w:hAnsi="Arial" w:cs="Arial"/>
          <w:color w:val="000000"/>
          <w:sz w:val="21"/>
          <w:szCs w:val="21"/>
        </w:rPr>
        <w:t xml:space="preserve"> para la elaboración de manuales</w:t>
      </w:r>
      <w:r>
        <w:rPr>
          <w:rFonts w:ascii="Arial" w:eastAsia="Arial" w:hAnsi="Arial" w:cs="Arial"/>
          <w:color w:val="000000"/>
          <w:sz w:val="21"/>
          <w:szCs w:val="21"/>
        </w:rPr>
        <w:t xml:space="preserve"> </w:t>
      </w:r>
      <w:r w:rsidR="00554130">
        <w:rPr>
          <w:rFonts w:ascii="Arial" w:eastAsia="Arial" w:hAnsi="Arial" w:cs="Arial"/>
          <w:color w:val="000000"/>
          <w:sz w:val="21"/>
          <w:szCs w:val="21"/>
        </w:rPr>
        <w:t xml:space="preserve">de Buenas prácticas </w:t>
      </w:r>
      <w:hyperlink r:id="rId8">
        <w:r w:rsidR="00554130">
          <w:rPr>
            <w:rFonts w:ascii="Arial" w:eastAsia="Arial" w:hAnsi="Arial" w:cs="Arial"/>
            <w:color w:val="0563C1"/>
            <w:sz w:val="21"/>
            <w:szCs w:val="21"/>
            <w:u w:val="single"/>
          </w:rPr>
          <w:t>https://bit.ly/2Zmt9ut</w:t>
        </w:r>
      </w:hyperlink>
      <w:r w:rsidR="00554130">
        <w:rPr>
          <w:rFonts w:ascii="Arial" w:eastAsia="Arial" w:hAnsi="Arial" w:cs="Arial"/>
          <w:color w:val="212121"/>
          <w:sz w:val="21"/>
          <w:szCs w:val="21"/>
        </w:rPr>
        <w:t xml:space="preserve">, </w:t>
      </w:r>
      <w:r>
        <w:rPr>
          <w:rFonts w:ascii="Arial" w:eastAsia="Arial" w:hAnsi="Arial" w:cs="Arial"/>
          <w:color w:val="000000"/>
          <w:sz w:val="21"/>
          <w:szCs w:val="21"/>
        </w:rPr>
        <w:t>y de</w:t>
      </w:r>
      <w:r w:rsidR="00554130">
        <w:rPr>
          <w:rFonts w:ascii="Arial" w:eastAsia="Arial" w:hAnsi="Arial" w:cs="Arial"/>
          <w:color w:val="000000"/>
          <w:sz w:val="21"/>
          <w:szCs w:val="21"/>
        </w:rPr>
        <w:t xml:space="preserve"> Higiene y Saneamiento </w:t>
      </w:r>
      <w:hyperlink r:id="rId9">
        <w:r w:rsidR="00554130">
          <w:rPr>
            <w:rFonts w:ascii="Arial" w:eastAsia="Arial" w:hAnsi="Arial" w:cs="Arial"/>
            <w:color w:val="0563C1"/>
            <w:sz w:val="21"/>
            <w:szCs w:val="21"/>
            <w:u w:val="single"/>
          </w:rPr>
          <w:t>https://bit.ly/3jPvJ5H</w:t>
        </w:r>
      </w:hyperlink>
      <w:r>
        <w:rPr>
          <w:rFonts w:ascii="Arial" w:eastAsia="Arial" w:hAnsi="Arial" w:cs="Arial"/>
          <w:color w:val="000000"/>
          <w:sz w:val="21"/>
          <w:szCs w:val="21"/>
        </w:rPr>
        <w:t>.</w:t>
      </w:r>
    </w:p>
    <w:p w:rsidR="00EA276C" w:rsidRDefault="00EA276C">
      <w:pPr>
        <w:pBdr>
          <w:top w:val="nil"/>
          <w:left w:val="nil"/>
          <w:bottom w:val="nil"/>
          <w:right w:val="nil"/>
          <w:between w:val="nil"/>
        </w:pBdr>
        <w:spacing w:after="0" w:line="240" w:lineRule="auto"/>
        <w:ind w:left="0" w:hanging="2"/>
        <w:jc w:val="both"/>
        <w:rPr>
          <w:rFonts w:ascii="Arial" w:eastAsia="Arial" w:hAnsi="Arial" w:cs="Arial"/>
          <w:color w:val="212121"/>
          <w:sz w:val="21"/>
          <w:szCs w:val="21"/>
        </w:rPr>
      </w:pPr>
    </w:p>
    <w:p w:rsidR="00EA276C" w:rsidRDefault="00EA276C">
      <w:pPr>
        <w:pBdr>
          <w:top w:val="nil"/>
          <w:left w:val="nil"/>
          <w:bottom w:val="nil"/>
          <w:right w:val="nil"/>
          <w:between w:val="nil"/>
        </w:pBdr>
        <w:spacing w:after="0" w:line="240" w:lineRule="auto"/>
        <w:ind w:left="0" w:hanging="2"/>
        <w:jc w:val="both"/>
        <w:rPr>
          <w:rFonts w:ascii="Arial" w:eastAsia="Arial" w:hAnsi="Arial" w:cs="Arial"/>
          <w:color w:val="212121"/>
          <w:sz w:val="21"/>
          <w:szCs w:val="21"/>
        </w:rPr>
      </w:pPr>
    </w:p>
    <w:p w:rsidR="00EA276C" w:rsidRDefault="00554130">
      <w:pPr>
        <w:pBdr>
          <w:top w:val="nil"/>
          <w:left w:val="nil"/>
          <w:bottom w:val="nil"/>
          <w:right w:val="nil"/>
          <w:between w:val="nil"/>
        </w:pBdr>
        <w:spacing w:after="0" w:line="240" w:lineRule="auto"/>
        <w:ind w:left="0" w:hanging="2"/>
        <w:jc w:val="both"/>
        <w:rPr>
          <w:rFonts w:ascii="Arial" w:eastAsia="Arial" w:hAnsi="Arial" w:cs="Arial"/>
          <w:color w:val="212121"/>
          <w:sz w:val="21"/>
          <w:szCs w:val="21"/>
        </w:rPr>
      </w:pPr>
      <w:r>
        <w:rPr>
          <w:rFonts w:ascii="Arial" w:eastAsia="Arial" w:hAnsi="Arial" w:cs="Arial"/>
          <w:color w:val="212121"/>
          <w:sz w:val="21"/>
          <w:szCs w:val="21"/>
        </w:rPr>
        <w:t>Agradecemos su difusión.</w:t>
      </w:r>
    </w:p>
    <w:sectPr w:rsidR="00EA276C">
      <w:headerReference w:type="even" r:id="rId10"/>
      <w:headerReference w:type="default" r:id="rId11"/>
      <w:footerReference w:type="even" r:id="rId12"/>
      <w:footerReference w:type="default" r:id="rId13"/>
      <w:headerReference w:type="first" r:id="rId14"/>
      <w:footerReference w:type="first" r:id="rId15"/>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F3" w:rsidRDefault="002D61F3">
      <w:pPr>
        <w:spacing w:after="0" w:line="240" w:lineRule="auto"/>
        <w:ind w:left="0" w:hanging="2"/>
      </w:pPr>
      <w:r>
        <w:separator/>
      </w:r>
    </w:p>
  </w:endnote>
  <w:endnote w:type="continuationSeparator" w:id="0">
    <w:p w:rsidR="002D61F3" w:rsidRDefault="002D61F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Arial MT">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6C" w:rsidRDefault="00EA276C">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6C" w:rsidRDefault="00554130">
    <w:pPr>
      <w:tabs>
        <w:tab w:val="left" w:pos="-284"/>
      </w:tabs>
      <w:spacing w:after="0" w:line="360" w:lineRule="auto"/>
      <w:ind w:left="0" w:right="-568" w:hanging="2"/>
      <w:jc w:val="both"/>
      <w:rPr>
        <w:sz w:val="14"/>
        <w:szCs w:val="14"/>
      </w:rPr>
    </w:pPr>
    <w:r>
      <w:rPr>
        <w:noProof/>
      </w:rPr>
      <w:drawing>
        <wp:anchor distT="0" distB="0" distL="0" distR="0" simplePos="0" relativeHeight="251660288" behindDoc="1" locked="0" layoutInCell="1" hidden="0" allowOverlap="1">
          <wp:simplePos x="0" y="0"/>
          <wp:positionH relativeFrom="column">
            <wp:posOffset>-504395</wp:posOffset>
          </wp:positionH>
          <wp:positionV relativeFrom="paragraph">
            <wp:posOffset>148026</wp:posOffset>
          </wp:positionV>
          <wp:extent cx="1528153" cy="656539"/>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rsidR="00EA276C" w:rsidRDefault="00554130">
    <w:pPr>
      <w:ind w:left="0" w:hanging="2"/>
      <w:rPr>
        <w:sz w:val="10"/>
        <w:szCs w:val="10"/>
      </w:rPr>
    </w:pPr>
    <w:r>
      <w:rPr>
        <w:noProof/>
      </w:rPr>
      <w:drawing>
        <wp:anchor distT="0" distB="0" distL="114300" distR="114300" simplePos="0" relativeHeight="251661312" behindDoc="0" locked="0" layoutInCell="1" hidden="0" allowOverlap="1">
          <wp:simplePos x="0" y="0"/>
          <wp:positionH relativeFrom="column">
            <wp:posOffset>4902975</wp:posOffset>
          </wp:positionH>
          <wp:positionV relativeFrom="paragraph">
            <wp:posOffset>21096</wp:posOffset>
          </wp:positionV>
          <wp:extent cx="1066645" cy="643198"/>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rsidR="00EA276C" w:rsidRDefault="00554130">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rsidR="00EA276C" w:rsidRDefault="00554130">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rsidR="00EA276C" w:rsidRDefault="00EA276C">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6C" w:rsidRDefault="00EA276C">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F3" w:rsidRDefault="002D61F3">
      <w:pPr>
        <w:spacing w:after="0" w:line="240" w:lineRule="auto"/>
        <w:ind w:left="0" w:hanging="2"/>
      </w:pPr>
      <w:r>
        <w:separator/>
      </w:r>
    </w:p>
  </w:footnote>
  <w:footnote w:type="continuationSeparator" w:id="0">
    <w:p w:rsidR="002D61F3" w:rsidRDefault="002D61F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6C" w:rsidRDefault="00EA276C">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6C" w:rsidRDefault="00554130">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-594708</wp:posOffset>
          </wp:positionH>
          <wp:positionV relativeFrom="paragraph">
            <wp:posOffset>12488</wp:posOffset>
          </wp:positionV>
          <wp:extent cx="2104712" cy="418679"/>
          <wp:effectExtent l="0" t="0" r="0" b="0"/>
          <wp:wrapNone/>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4406265</wp:posOffset>
          </wp:positionH>
          <wp:positionV relativeFrom="paragraph">
            <wp:posOffset>12488</wp:posOffset>
          </wp:positionV>
          <wp:extent cx="1538824" cy="486272"/>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rsidR="00EA276C" w:rsidRDefault="00EA276C">
    <w:pPr>
      <w:pBdr>
        <w:top w:val="nil"/>
        <w:left w:val="nil"/>
        <w:bottom w:val="nil"/>
        <w:right w:val="nil"/>
        <w:between w:val="nil"/>
      </w:pBdr>
      <w:spacing w:after="0" w:line="240" w:lineRule="auto"/>
      <w:ind w:left="0" w:hanging="2"/>
      <w:rPr>
        <w:color w:val="000000"/>
      </w:rPr>
    </w:pPr>
  </w:p>
  <w:p w:rsidR="00EA276C" w:rsidRDefault="00EA276C">
    <w:pPr>
      <w:pBdr>
        <w:top w:val="nil"/>
        <w:left w:val="nil"/>
        <w:bottom w:val="nil"/>
        <w:right w:val="nil"/>
        <w:between w:val="nil"/>
      </w:pBdr>
      <w:spacing w:after="0" w:line="240" w:lineRule="auto"/>
      <w:ind w:left="0" w:hanging="2"/>
      <w:rPr>
        <w:color w:val="000000"/>
      </w:rPr>
    </w:pPr>
  </w:p>
  <w:p w:rsidR="00EA276C" w:rsidRDefault="00EA276C">
    <w:pPr>
      <w:pBdr>
        <w:top w:val="nil"/>
        <w:left w:val="nil"/>
        <w:bottom w:val="nil"/>
        <w:right w:val="nil"/>
        <w:between w:val="nil"/>
      </w:pBdr>
      <w:spacing w:after="0" w:line="240" w:lineRule="auto"/>
      <w:rPr>
        <w:color w:val="000000"/>
        <w:sz w:val="10"/>
        <w:szCs w:val="10"/>
      </w:rPr>
    </w:pPr>
  </w:p>
  <w:p w:rsidR="00EA276C" w:rsidRDefault="0055413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rsidR="00EA276C" w:rsidRDefault="0055413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rsidR="00EA276C" w:rsidRDefault="00EA276C">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6C" w:rsidRDefault="00EA276C">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6C"/>
    <w:rsid w:val="0003491D"/>
    <w:rsid w:val="000A7455"/>
    <w:rsid w:val="00136EA4"/>
    <w:rsid w:val="002D61F3"/>
    <w:rsid w:val="003C4594"/>
    <w:rsid w:val="00554130"/>
    <w:rsid w:val="009F7D72"/>
    <w:rsid w:val="00AB0E09"/>
    <w:rsid w:val="00E30826"/>
    <w:rsid w:val="00E656F6"/>
    <w:rsid w:val="00EA2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4D801C7D"/>
  <w15:docId w15:val="{17DFD221-9B9F-A14A-812B-D6EB75F3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8">
    <w:name w:val="Table Normal"/>
    <w:next w:val="TableNormal7"/>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 w:type="character" w:styleId="Mencinsinresolver">
    <w:name w:val="Unresolved Mention"/>
    <w:basedOn w:val="Fuentedeprrafopredeter"/>
    <w:uiPriority w:val="99"/>
    <w:semiHidden/>
    <w:unhideWhenUsed/>
    <w:rsid w:val="00B0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2Zmt9u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anipes.gob.pe/tupa/tupa__23.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3jPvJ5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zeSB7Ayf9TsO+4/1jf/wdAljNA==">CgMxLjAyCWguMzBqMHpsbDgAciExSGkzaTY3S0VvTjZTMXJQRHU3YlN5QmlweDlFcXZEQ0c=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8</cp:revision>
  <dcterms:created xsi:type="dcterms:W3CDTF">2023-07-10T21:44:00Z</dcterms:created>
  <dcterms:modified xsi:type="dcterms:W3CDTF">2023-08-17T14:05:00Z</dcterms:modified>
</cp:coreProperties>
</file>