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3B46" w14:textId="77777777" w:rsidR="003857EA" w:rsidRDefault="003857EA" w:rsidP="00032C9C">
      <w:pPr>
        <w:jc w:val="center"/>
        <w:rPr>
          <w:rFonts w:ascii="Arial" w:hAnsi="Arial" w:cs="Arial"/>
          <w:b/>
          <w:bCs/>
          <w:u w:val="single"/>
        </w:rPr>
      </w:pPr>
    </w:p>
    <w:p w14:paraId="4E4E7995" w14:textId="6D7E4F07" w:rsidR="00032C9C" w:rsidRDefault="00032C9C" w:rsidP="00032C9C">
      <w:pPr>
        <w:jc w:val="center"/>
        <w:rPr>
          <w:rFonts w:ascii="Arial" w:hAnsi="Arial" w:cs="Arial"/>
          <w:b/>
          <w:bCs/>
          <w:u w:val="single"/>
        </w:rPr>
      </w:pPr>
      <w:r w:rsidRPr="00B73A71">
        <w:rPr>
          <w:rFonts w:ascii="Arial" w:hAnsi="Arial" w:cs="Arial"/>
          <w:b/>
          <w:bCs/>
          <w:u w:val="single"/>
        </w:rPr>
        <w:t>NOTA DE PRENSA</w:t>
      </w:r>
    </w:p>
    <w:p w14:paraId="339B2810" w14:textId="77777777" w:rsidR="00710C81" w:rsidRPr="007A376B" w:rsidRDefault="00710C81" w:rsidP="00032C9C">
      <w:pPr>
        <w:jc w:val="center"/>
        <w:rPr>
          <w:rFonts w:ascii="Arial" w:hAnsi="Arial" w:cs="Arial"/>
          <w:b/>
          <w:bCs/>
          <w:u w:val="single"/>
        </w:rPr>
      </w:pPr>
    </w:p>
    <w:p w14:paraId="5C0608D0" w14:textId="21AAAE10" w:rsidR="00007A65" w:rsidRDefault="00861A5F" w:rsidP="00710C81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861A5F">
        <w:rPr>
          <w:rFonts w:ascii="Arial" w:hAnsi="Arial" w:cs="Arial"/>
          <w:b/>
          <w:bCs/>
          <w:sz w:val="28"/>
          <w:szCs w:val="28"/>
        </w:rPr>
        <w:t xml:space="preserve">Produce autoriza pesca exploratoria de anchoveta en la zona </w:t>
      </w:r>
      <w:r w:rsidR="003857EA">
        <w:rPr>
          <w:rFonts w:ascii="Arial" w:hAnsi="Arial" w:cs="Arial"/>
          <w:b/>
          <w:bCs/>
          <w:sz w:val="28"/>
          <w:szCs w:val="28"/>
        </w:rPr>
        <w:t>norte-centro</w:t>
      </w:r>
      <w:r w:rsidRPr="00861A5F">
        <w:rPr>
          <w:rFonts w:ascii="Arial" w:hAnsi="Arial" w:cs="Arial"/>
          <w:b/>
          <w:bCs/>
          <w:sz w:val="28"/>
          <w:szCs w:val="28"/>
        </w:rPr>
        <w:t xml:space="preserve"> del país por un periodo de cinco días</w:t>
      </w:r>
    </w:p>
    <w:p w14:paraId="38C12BD6" w14:textId="2BE472A8" w:rsidR="00E058C3" w:rsidRPr="00710C81" w:rsidRDefault="00E058C3" w:rsidP="00710C81">
      <w:pPr>
        <w:ind w:left="360"/>
        <w:jc w:val="center"/>
        <w:rPr>
          <w:rFonts w:ascii="Arial" w:hAnsi="Arial" w:cs="Arial"/>
          <w:b/>
          <w:bCs/>
          <w:sz w:val="10"/>
          <w:szCs w:val="10"/>
        </w:rPr>
      </w:pPr>
    </w:p>
    <w:p w14:paraId="09633A3D" w14:textId="7FD2884C" w:rsidR="00B02B3D" w:rsidRPr="00861A5F" w:rsidRDefault="00861A5F" w:rsidP="00861A5F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i/>
          <w:sz w:val="22"/>
          <w:szCs w:val="22"/>
          <w:lang w:eastAsia="es-PE"/>
        </w:rPr>
      </w:pPr>
      <w:r w:rsidRPr="00861A5F">
        <w:rPr>
          <w:rFonts w:ascii="Arial" w:eastAsia="Times New Roman" w:hAnsi="Arial" w:cs="Arial"/>
          <w:i/>
          <w:sz w:val="22"/>
          <w:szCs w:val="22"/>
          <w:lang w:eastAsia="es-PE"/>
        </w:rPr>
        <w:t xml:space="preserve">De acuerdo a la Resolución Ministerial N° 354-2023-PRODUCE, esta pesca iniciará a partir de las 00:00 horas del </w:t>
      </w:r>
      <w:r>
        <w:rPr>
          <w:rFonts w:ascii="Arial" w:eastAsia="Times New Roman" w:hAnsi="Arial" w:cs="Arial"/>
          <w:i/>
          <w:sz w:val="22"/>
          <w:szCs w:val="22"/>
          <w:lang w:eastAsia="es-PE"/>
        </w:rPr>
        <w:t xml:space="preserve">sábado </w:t>
      </w:r>
      <w:r w:rsidRPr="00861A5F">
        <w:rPr>
          <w:rFonts w:ascii="Arial" w:eastAsia="Times New Roman" w:hAnsi="Arial" w:cs="Arial"/>
          <w:i/>
          <w:sz w:val="22"/>
          <w:szCs w:val="22"/>
          <w:lang w:eastAsia="es-PE"/>
        </w:rPr>
        <w:t>21 de octubre</w:t>
      </w:r>
    </w:p>
    <w:p w14:paraId="66FC64D3" w14:textId="77777777" w:rsidR="00861A5F" w:rsidRDefault="00861A5F" w:rsidP="00032C9C">
      <w:pPr>
        <w:jc w:val="both"/>
        <w:rPr>
          <w:rFonts w:ascii="Arial" w:eastAsia="Times New Roman" w:hAnsi="Arial" w:cs="Arial"/>
          <w:lang w:eastAsia="es-PE"/>
        </w:rPr>
      </w:pPr>
    </w:p>
    <w:p w14:paraId="6646258E" w14:textId="76709696" w:rsidR="00861A5F" w:rsidRDefault="00861A5F" w:rsidP="00861A5F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  <w:r w:rsidRPr="00861A5F">
        <w:rPr>
          <w:rFonts w:ascii="Arial" w:eastAsia="Times New Roman" w:hAnsi="Arial" w:cs="Arial"/>
          <w:sz w:val="23"/>
          <w:szCs w:val="23"/>
          <w:lang w:eastAsia="es-PE"/>
        </w:rPr>
        <w:t>El Ministerio de la Producción (Produce) autorizó al Instituto del Mar del Perú (</w:t>
      </w:r>
      <w:proofErr w:type="spellStart"/>
      <w:r w:rsidRPr="00861A5F">
        <w:rPr>
          <w:rFonts w:ascii="Arial" w:eastAsia="Times New Roman" w:hAnsi="Arial" w:cs="Arial"/>
          <w:sz w:val="23"/>
          <w:szCs w:val="23"/>
          <w:lang w:eastAsia="es-PE"/>
        </w:rPr>
        <w:t>Imarpe</w:t>
      </w:r>
      <w:proofErr w:type="spellEnd"/>
      <w:r w:rsidRPr="00861A5F">
        <w:rPr>
          <w:rFonts w:ascii="Arial" w:eastAsia="Times New Roman" w:hAnsi="Arial" w:cs="Arial"/>
          <w:sz w:val="23"/>
          <w:szCs w:val="23"/>
          <w:lang w:eastAsia="es-PE"/>
        </w:rPr>
        <w:t>) la ejecución de la pesca exploratoria del recurso anchoveta (</w:t>
      </w:r>
      <w:proofErr w:type="spellStart"/>
      <w:r w:rsidRPr="00201D4B">
        <w:rPr>
          <w:rFonts w:ascii="Arial" w:eastAsia="Times New Roman" w:hAnsi="Arial" w:cs="Arial"/>
          <w:i/>
          <w:iCs/>
          <w:sz w:val="23"/>
          <w:szCs w:val="23"/>
          <w:lang w:eastAsia="es-PE"/>
        </w:rPr>
        <w:t>Engraulis</w:t>
      </w:r>
      <w:proofErr w:type="spellEnd"/>
      <w:r w:rsidRPr="00201D4B">
        <w:rPr>
          <w:rFonts w:ascii="Arial" w:eastAsia="Times New Roman" w:hAnsi="Arial" w:cs="Arial"/>
          <w:i/>
          <w:iCs/>
          <w:sz w:val="23"/>
          <w:szCs w:val="23"/>
          <w:lang w:eastAsia="es-PE"/>
        </w:rPr>
        <w:t xml:space="preserve"> </w:t>
      </w:r>
      <w:proofErr w:type="spellStart"/>
      <w:r w:rsidRPr="00201D4B">
        <w:rPr>
          <w:rFonts w:ascii="Arial" w:eastAsia="Times New Roman" w:hAnsi="Arial" w:cs="Arial"/>
          <w:i/>
          <w:iCs/>
          <w:sz w:val="23"/>
          <w:szCs w:val="23"/>
          <w:lang w:eastAsia="es-PE"/>
        </w:rPr>
        <w:t>ringens</w:t>
      </w:r>
      <w:proofErr w:type="spellEnd"/>
      <w:r w:rsidRPr="00861A5F">
        <w:rPr>
          <w:rFonts w:ascii="Arial" w:eastAsia="Times New Roman" w:hAnsi="Arial" w:cs="Arial"/>
          <w:sz w:val="23"/>
          <w:szCs w:val="23"/>
          <w:lang w:eastAsia="es-PE"/>
        </w:rPr>
        <w:t>) y anchoveta blanca (</w:t>
      </w:r>
      <w:r w:rsidRPr="00201D4B">
        <w:rPr>
          <w:rFonts w:ascii="Arial" w:eastAsia="Times New Roman" w:hAnsi="Arial" w:cs="Arial"/>
          <w:i/>
          <w:iCs/>
          <w:sz w:val="23"/>
          <w:szCs w:val="23"/>
          <w:lang w:eastAsia="es-PE"/>
        </w:rPr>
        <w:t xml:space="preserve">Anchoa </w:t>
      </w:r>
      <w:proofErr w:type="spellStart"/>
      <w:r w:rsidRPr="00201D4B">
        <w:rPr>
          <w:rFonts w:ascii="Arial" w:eastAsia="Times New Roman" w:hAnsi="Arial" w:cs="Arial"/>
          <w:i/>
          <w:iCs/>
          <w:sz w:val="23"/>
          <w:szCs w:val="23"/>
          <w:lang w:eastAsia="es-PE"/>
        </w:rPr>
        <w:t>nasus</w:t>
      </w:r>
      <w:proofErr w:type="spellEnd"/>
      <w:r w:rsidRPr="00861A5F">
        <w:rPr>
          <w:rFonts w:ascii="Arial" w:eastAsia="Times New Roman" w:hAnsi="Arial" w:cs="Arial"/>
          <w:sz w:val="23"/>
          <w:szCs w:val="23"/>
          <w:lang w:eastAsia="es-PE"/>
        </w:rPr>
        <w:t>), con el fin de verificar si existe segregación espacial entre cardúmenes de juveniles y adultos en la zona norte</w:t>
      </w:r>
      <w:r w:rsidR="00515A8E">
        <w:rPr>
          <w:rFonts w:ascii="Arial" w:eastAsia="Times New Roman" w:hAnsi="Arial" w:cs="Arial"/>
          <w:sz w:val="23"/>
          <w:szCs w:val="23"/>
          <w:lang w:eastAsia="es-PE"/>
        </w:rPr>
        <w:t>-</w:t>
      </w:r>
      <w:r w:rsidRPr="00861A5F">
        <w:rPr>
          <w:rFonts w:ascii="Arial" w:eastAsia="Times New Roman" w:hAnsi="Arial" w:cs="Arial"/>
          <w:sz w:val="23"/>
          <w:szCs w:val="23"/>
          <w:lang w:eastAsia="es-PE"/>
        </w:rPr>
        <w:t>centro del mar peruano.</w:t>
      </w:r>
    </w:p>
    <w:p w14:paraId="3DF21DE1" w14:textId="77777777" w:rsidR="00861A5F" w:rsidRPr="00861A5F" w:rsidRDefault="00861A5F" w:rsidP="00861A5F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14:paraId="3D504B32" w14:textId="05A8FCB5" w:rsidR="00515A8E" w:rsidRPr="00515A8E" w:rsidRDefault="00515A8E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De acuerdo a la Resolución Ministerial N° 354-2023-PRODUCE, publicada en el diario El Peruano, esta </w:t>
      </w:r>
      <w:r w:rsidR="00EE65BE">
        <w:rPr>
          <w:rFonts w:ascii="Arial" w:eastAsia="Times New Roman" w:hAnsi="Arial" w:cs="Arial"/>
          <w:sz w:val="23"/>
          <w:szCs w:val="23"/>
          <w:lang w:eastAsia="es-PE"/>
        </w:rPr>
        <w:t xml:space="preserve">actividad de investigación </w:t>
      </w: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empezará el sábado 21 de </w:t>
      </w:r>
      <w:r w:rsidR="00F47CA2">
        <w:rPr>
          <w:rFonts w:ascii="Arial" w:eastAsia="Times New Roman" w:hAnsi="Arial" w:cs="Arial"/>
          <w:sz w:val="23"/>
          <w:szCs w:val="23"/>
          <w:lang w:eastAsia="es-PE"/>
        </w:rPr>
        <w:t>octubre</w:t>
      </w:r>
      <w:bookmarkStart w:id="0" w:name="_GoBack"/>
      <w:bookmarkEnd w:id="0"/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 por un periodo de hasta cinco días calendario en el área marítima comprendida entre Paita (05ºS) y 15º59´S, por fuera de las 10 millas náuticas. </w:t>
      </w:r>
    </w:p>
    <w:p w14:paraId="4C619C06" w14:textId="77777777" w:rsidR="00515A8E" w:rsidRPr="00515A8E" w:rsidRDefault="00515A8E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14:paraId="56AC7628" w14:textId="62EFAB93" w:rsidR="00D261B8" w:rsidRDefault="00515A8E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Se indicó que el </w:t>
      </w:r>
      <w:proofErr w:type="spellStart"/>
      <w:r w:rsidRPr="00515A8E">
        <w:rPr>
          <w:rFonts w:ascii="Arial" w:eastAsia="Times New Roman" w:hAnsi="Arial" w:cs="Arial"/>
          <w:sz w:val="23"/>
          <w:szCs w:val="23"/>
          <w:lang w:eastAsia="es-PE"/>
        </w:rPr>
        <w:t>Imarpe</w:t>
      </w:r>
      <w:proofErr w:type="spellEnd"/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 coordinará y realizará el seguimiento al desarrollo de la citada pesca exploratoria</w:t>
      </w:r>
      <w:r w:rsidR="00007A65">
        <w:rPr>
          <w:rFonts w:ascii="Arial" w:eastAsia="Times New Roman" w:hAnsi="Arial" w:cs="Arial"/>
          <w:sz w:val="23"/>
          <w:szCs w:val="23"/>
          <w:lang w:eastAsia="es-PE"/>
        </w:rPr>
        <w:t>,</w:t>
      </w: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 debiendo comunicar oportunamente</w:t>
      </w:r>
      <w:r>
        <w:rPr>
          <w:rFonts w:ascii="Arial" w:eastAsia="Times New Roman" w:hAnsi="Arial" w:cs="Arial"/>
          <w:sz w:val="23"/>
          <w:szCs w:val="23"/>
          <w:lang w:eastAsia="es-PE"/>
        </w:rPr>
        <w:t xml:space="preserve"> </w:t>
      </w: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sobre </w:t>
      </w:r>
      <w:r w:rsidR="00EE65BE">
        <w:rPr>
          <w:rFonts w:ascii="Arial" w:eastAsia="Times New Roman" w:hAnsi="Arial" w:cs="Arial"/>
          <w:sz w:val="23"/>
          <w:szCs w:val="23"/>
          <w:lang w:eastAsia="es-PE"/>
        </w:rPr>
        <w:t>su</w:t>
      </w:r>
      <w:r w:rsidR="00EE65BE"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 </w:t>
      </w:r>
      <w:r w:rsidRPr="00515A8E">
        <w:rPr>
          <w:rFonts w:ascii="Arial" w:eastAsia="Times New Roman" w:hAnsi="Arial" w:cs="Arial"/>
          <w:sz w:val="23"/>
          <w:szCs w:val="23"/>
          <w:lang w:eastAsia="es-PE"/>
        </w:rPr>
        <w:t>desenvolvimiento</w:t>
      </w:r>
      <w:r w:rsidR="00D261B8">
        <w:rPr>
          <w:rFonts w:ascii="Arial" w:eastAsia="Times New Roman" w:hAnsi="Arial" w:cs="Arial"/>
          <w:sz w:val="23"/>
          <w:szCs w:val="23"/>
          <w:lang w:eastAsia="es-PE"/>
        </w:rPr>
        <w:t>, además de recomendar</w:t>
      </w: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 con la prontitud del caso, las medidas de manejo que resulten necesarias</w:t>
      </w:r>
      <w:r w:rsidR="00D261B8">
        <w:rPr>
          <w:rFonts w:ascii="Arial" w:eastAsia="Times New Roman" w:hAnsi="Arial" w:cs="Arial"/>
          <w:sz w:val="23"/>
          <w:szCs w:val="23"/>
          <w:lang w:eastAsia="es-PE"/>
        </w:rPr>
        <w:t xml:space="preserve">. </w:t>
      </w:r>
    </w:p>
    <w:p w14:paraId="291C9A14" w14:textId="77777777" w:rsidR="00D261B8" w:rsidRDefault="00D261B8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14:paraId="57AB6A5F" w14:textId="086FC627" w:rsidR="00515A8E" w:rsidRPr="00515A8E" w:rsidRDefault="00D261B8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  <w:r>
        <w:rPr>
          <w:rFonts w:ascii="Arial" w:eastAsia="Times New Roman" w:hAnsi="Arial" w:cs="Arial"/>
          <w:sz w:val="23"/>
          <w:szCs w:val="23"/>
          <w:lang w:eastAsia="es-PE"/>
        </w:rPr>
        <w:t>Asimismo,</w:t>
      </w:r>
      <w:r w:rsidR="00515A8E"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 la suspensión de actividades, el cierre inmediato de zonas de pesca por incidencia de juveniles o por </w:t>
      </w:r>
      <w:proofErr w:type="spellStart"/>
      <w:r w:rsidR="00515A8E" w:rsidRPr="00515A8E">
        <w:rPr>
          <w:rFonts w:ascii="Arial" w:eastAsia="Times New Roman" w:hAnsi="Arial" w:cs="Arial"/>
          <w:sz w:val="23"/>
          <w:szCs w:val="23"/>
          <w:lang w:eastAsia="es-PE"/>
        </w:rPr>
        <w:t>enmallamiento</w:t>
      </w:r>
      <w:proofErr w:type="spellEnd"/>
      <w:r w:rsidR="00007A65">
        <w:rPr>
          <w:rFonts w:ascii="Arial" w:eastAsia="Times New Roman" w:hAnsi="Arial" w:cs="Arial"/>
          <w:sz w:val="23"/>
          <w:szCs w:val="23"/>
          <w:lang w:eastAsia="es-PE"/>
        </w:rPr>
        <w:t xml:space="preserve">, </w:t>
      </w:r>
      <w:r w:rsidR="00515A8E" w:rsidRPr="00515A8E">
        <w:rPr>
          <w:rFonts w:ascii="Arial" w:eastAsia="Times New Roman" w:hAnsi="Arial" w:cs="Arial"/>
          <w:sz w:val="23"/>
          <w:szCs w:val="23"/>
          <w:lang w:eastAsia="es-PE"/>
        </w:rPr>
        <w:t>así como la conclusión de la misma, según corresponda.</w:t>
      </w:r>
    </w:p>
    <w:p w14:paraId="661C9055" w14:textId="77777777" w:rsidR="00515A8E" w:rsidRPr="00515A8E" w:rsidRDefault="00515A8E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14:paraId="70D9F434" w14:textId="4E9F5FCF" w:rsidR="00515A8E" w:rsidRPr="00515A8E" w:rsidRDefault="00515A8E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  <w:r w:rsidRPr="00515A8E">
        <w:rPr>
          <w:rFonts w:ascii="Arial" w:eastAsia="Times New Roman" w:hAnsi="Arial" w:cs="Arial"/>
          <w:sz w:val="23"/>
          <w:szCs w:val="23"/>
          <w:lang w:eastAsia="es-PE"/>
        </w:rPr>
        <w:t>El volumen del recurso anchoveta extraído por las embarcaciones que participen en la pesca exploratoria se</w:t>
      </w:r>
      <w:r w:rsidR="00EE65BE">
        <w:rPr>
          <w:rFonts w:ascii="Arial" w:eastAsia="Times New Roman" w:hAnsi="Arial" w:cs="Arial"/>
          <w:sz w:val="23"/>
          <w:szCs w:val="23"/>
          <w:lang w:eastAsia="es-PE"/>
        </w:rPr>
        <w:t>rá</w:t>
      </w: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 considera</w:t>
      </w:r>
      <w:r w:rsidR="00EE65BE">
        <w:rPr>
          <w:rFonts w:ascii="Arial" w:eastAsia="Times New Roman" w:hAnsi="Arial" w:cs="Arial"/>
          <w:sz w:val="23"/>
          <w:szCs w:val="23"/>
          <w:lang w:eastAsia="es-PE"/>
        </w:rPr>
        <w:t>do</w:t>
      </w: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 como parte del Límite Máximo de Captura por Embarcación (LMCE Norte - Centro) que se asigne para la siguiente temporada de pesca en las zonas antes mencionadas.</w:t>
      </w:r>
    </w:p>
    <w:p w14:paraId="747A5B3C" w14:textId="77777777" w:rsidR="00515A8E" w:rsidRPr="00515A8E" w:rsidRDefault="00515A8E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14:paraId="150AFFD1" w14:textId="4C7301D2" w:rsidR="00515A8E" w:rsidRPr="00515A8E" w:rsidRDefault="00515A8E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Las embarcaciones pesqueras que participan en </w:t>
      </w:r>
      <w:r w:rsidR="00EE65BE">
        <w:rPr>
          <w:rFonts w:ascii="Arial" w:eastAsia="Times New Roman" w:hAnsi="Arial" w:cs="Arial"/>
          <w:sz w:val="23"/>
          <w:szCs w:val="23"/>
          <w:lang w:eastAsia="es-PE"/>
        </w:rPr>
        <w:t xml:space="preserve">la </w:t>
      </w:r>
      <w:r w:rsidRPr="00515A8E">
        <w:rPr>
          <w:rFonts w:ascii="Arial" w:eastAsia="Times New Roman" w:hAnsi="Arial" w:cs="Arial"/>
          <w:sz w:val="23"/>
          <w:szCs w:val="23"/>
          <w:lang w:eastAsia="es-PE"/>
        </w:rPr>
        <w:t>pesca exploratoria</w:t>
      </w:r>
      <w:r w:rsidR="00EE65BE">
        <w:rPr>
          <w:rFonts w:ascii="Arial" w:eastAsia="Times New Roman" w:hAnsi="Arial" w:cs="Arial"/>
          <w:sz w:val="23"/>
          <w:szCs w:val="23"/>
          <w:lang w:eastAsia="es-PE"/>
        </w:rPr>
        <w:t>,</w:t>
      </w: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 cuyos armadores incumplan lo dispuesto en la presente </w:t>
      </w:r>
      <w:r w:rsidR="00EE65BE">
        <w:rPr>
          <w:rFonts w:ascii="Arial" w:eastAsia="Times New Roman" w:hAnsi="Arial" w:cs="Arial"/>
          <w:sz w:val="23"/>
          <w:szCs w:val="23"/>
          <w:lang w:eastAsia="es-PE"/>
        </w:rPr>
        <w:t>norma</w:t>
      </w:r>
      <w:r w:rsidR="00007A65">
        <w:rPr>
          <w:rFonts w:ascii="Arial" w:eastAsia="Times New Roman" w:hAnsi="Arial" w:cs="Arial"/>
          <w:sz w:val="23"/>
          <w:szCs w:val="23"/>
          <w:lang w:eastAsia="es-PE"/>
        </w:rPr>
        <w:t>,</w:t>
      </w:r>
      <w:r w:rsidRPr="00515A8E">
        <w:rPr>
          <w:rFonts w:ascii="Arial" w:eastAsia="Times New Roman" w:hAnsi="Arial" w:cs="Arial"/>
          <w:sz w:val="23"/>
          <w:szCs w:val="23"/>
          <w:lang w:eastAsia="es-PE"/>
        </w:rPr>
        <w:t xml:space="preserve"> son excluidas inmediatamente de esta actividad, así como de posteriores actividades científicas durante el período de un año; sin perjuicio del inicio del correspondiente procedimiento administrativo sancionador, conforme al marco legal vigente. </w:t>
      </w:r>
    </w:p>
    <w:p w14:paraId="6204A182" w14:textId="77777777" w:rsidR="00515A8E" w:rsidRPr="00515A8E" w:rsidRDefault="00515A8E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14:paraId="554D2AF5" w14:textId="77777777" w:rsidR="00515A8E" w:rsidRPr="003857EA" w:rsidRDefault="00515A8E" w:rsidP="00515A8E">
      <w:pPr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14:paraId="1F5E6D38" w14:textId="108B7F95" w:rsidR="003E3917" w:rsidRDefault="003E3917" w:rsidP="003E3917">
      <w:pPr>
        <w:jc w:val="right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Lima, 1</w:t>
      </w:r>
      <w:r w:rsidR="006876FF">
        <w:rPr>
          <w:rFonts w:ascii="Arial" w:eastAsia="Times New Roman" w:hAnsi="Arial" w:cs="Arial"/>
          <w:b/>
          <w:lang w:eastAsia="es-PE"/>
        </w:rPr>
        <w:t>8</w:t>
      </w:r>
      <w:r>
        <w:rPr>
          <w:rFonts w:ascii="Arial" w:eastAsia="Times New Roman" w:hAnsi="Arial" w:cs="Arial"/>
          <w:b/>
          <w:lang w:eastAsia="es-PE"/>
        </w:rPr>
        <w:t xml:space="preserve"> de octubre de 2023</w:t>
      </w:r>
    </w:p>
    <w:p w14:paraId="74FAF504" w14:textId="66D24BAE" w:rsidR="00A75BCD" w:rsidRDefault="00A75BCD" w:rsidP="00A75BCD">
      <w:pPr>
        <w:rPr>
          <w:rFonts w:ascii="Arial" w:eastAsia="Times New Roman" w:hAnsi="Arial" w:cs="Arial"/>
          <w:b/>
          <w:lang w:eastAsia="es-PE"/>
        </w:rPr>
      </w:pPr>
    </w:p>
    <w:p w14:paraId="108B4E58" w14:textId="3429DA60" w:rsidR="00A75BCD" w:rsidRDefault="00A75BCD" w:rsidP="00D2547B">
      <w:pPr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ab/>
      </w:r>
    </w:p>
    <w:sectPr w:rsidR="00A75BCD" w:rsidSect="003E3917">
      <w:headerReference w:type="default" r:id="rId7"/>
      <w:footerReference w:type="default" r:id="rId8"/>
      <w:pgSz w:w="11906" w:h="16838"/>
      <w:pgMar w:top="1560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17B16" w14:textId="77777777" w:rsidR="00F40733" w:rsidRDefault="00F40733" w:rsidP="00E42848">
      <w:r>
        <w:separator/>
      </w:r>
    </w:p>
  </w:endnote>
  <w:endnote w:type="continuationSeparator" w:id="0">
    <w:p w14:paraId="62E54BF8" w14:textId="77777777" w:rsidR="00F40733" w:rsidRDefault="00F40733" w:rsidP="00E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ED4C" w14:textId="77777777" w:rsidR="00E42848" w:rsidRDefault="00E42848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4CF9B7A" wp14:editId="7B8C500A">
          <wp:simplePos x="0" y="0"/>
          <wp:positionH relativeFrom="column">
            <wp:posOffset>-851535</wp:posOffset>
          </wp:positionH>
          <wp:positionV relativeFrom="paragraph">
            <wp:posOffset>81280</wp:posOffset>
          </wp:positionV>
          <wp:extent cx="7126605" cy="1183005"/>
          <wp:effectExtent l="0" t="0" r="0" b="0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60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2233" w14:textId="77777777" w:rsidR="00F40733" w:rsidRDefault="00F40733" w:rsidP="00E42848">
      <w:r>
        <w:separator/>
      </w:r>
    </w:p>
  </w:footnote>
  <w:footnote w:type="continuationSeparator" w:id="0">
    <w:p w14:paraId="1A8C1866" w14:textId="77777777" w:rsidR="00F40733" w:rsidRDefault="00F40733" w:rsidP="00E4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A193" w14:textId="77777777" w:rsidR="00E42848" w:rsidRDefault="00E42848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1028473D" wp14:editId="7441A122">
          <wp:simplePos x="0" y="0"/>
          <wp:positionH relativeFrom="column">
            <wp:posOffset>-108585</wp:posOffset>
          </wp:positionH>
          <wp:positionV relativeFrom="paragraph">
            <wp:posOffset>-1905</wp:posOffset>
          </wp:positionV>
          <wp:extent cx="2432685" cy="518160"/>
          <wp:effectExtent l="0" t="0" r="5715" b="0"/>
          <wp:wrapTight wrapText="bothSides">
            <wp:wrapPolygon edited="0">
              <wp:start x="0" y="0"/>
              <wp:lineTo x="0" y="20647"/>
              <wp:lineTo x="21482" y="20647"/>
              <wp:lineTo x="21482" y="0"/>
              <wp:lineTo x="0" y="0"/>
            </wp:wrapPolygon>
          </wp:wrapTight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373"/>
    <w:multiLevelType w:val="hybridMultilevel"/>
    <w:tmpl w:val="EECA5B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24E0F"/>
    <w:multiLevelType w:val="hybridMultilevel"/>
    <w:tmpl w:val="6D5A75C6"/>
    <w:lvl w:ilvl="0" w:tplc="A3685F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D048C"/>
    <w:multiLevelType w:val="multilevel"/>
    <w:tmpl w:val="571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40CC7"/>
    <w:multiLevelType w:val="hybridMultilevel"/>
    <w:tmpl w:val="BFB2BA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30"/>
    <w:rsid w:val="00007A65"/>
    <w:rsid w:val="00032C9C"/>
    <w:rsid w:val="000D669E"/>
    <w:rsid w:val="001056DA"/>
    <w:rsid w:val="00112535"/>
    <w:rsid w:val="00144AD0"/>
    <w:rsid w:val="00186A6D"/>
    <w:rsid w:val="00186FA2"/>
    <w:rsid w:val="00197141"/>
    <w:rsid w:val="001A4536"/>
    <w:rsid w:val="001B1170"/>
    <w:rsid w:val="001E139F"/>
    <w:rsid w:val="001E5315"/>
    <w:rsid w:val="00201D4B"/>
    <w:rsid w:val="00207F7F"/>
    <w:rsid w:val="00215AC6"/>
    <w:rsid w:val="00216EEF"/>
    <w:rsid w:val="00224DD1"/>
    <w:rsid w:val="00256C30"/>
    <w:rsid w:val="00275DF1"/>
    <w:rsid w:val="0028073D"/>
    <w:rsid w:val="00281A95"/>
    <w:rsid w:val="003049DB"/>
    <w:rsid w:val="003611AA"/>
    <w:rsid w:val="00381092"/>
    <w:rsid w:val="003857EA"/>
    <w:rsid w:val="00397BED"/>
    <w:rsid w:val="003B2BF7"/>
    <w:rsid w:val="003C42DC"/>
    <w:rsid w:val="003D5BC7"/>
    <w:rsid w:val="003D63EA"/>
    <w:rsid w:val="003E3917"/>
    <w:rsid w:val="004340A0"/>
    <w:rsid w:val="004428E8"/>
    <w:rsid w:val="0045565E"/>
    <w:rsid w:val="00466B39"/>
    <w:rsid w:val="004D3531"/>
    <w:rsid w:val="004F3B1F"/>
    <w:rsid w:val="00515A8E"/>
    <w:rsid w:val="00557ECF"/>
    <w:rsid w:val="00566B28"/>
    <w:rsid w:val="005C5FE7"/>
    <w:rsid w:val="005D23FB"/>
    <w:rsid w:val="005F26F1"/>
    <w:rsid w:val="00612EC6"/>
    <w:rsid w:val="00640A8B"/>
    <w:rsid w:val="006876FF"/>
    <w:rsid w:val="0069334C"/>
    <w:rsid w:val="006A6533"/>
    <w:rsid w:val="00710C81"/>
    <w:rsid w:val="00723F5C"/>
    <w:rsid w:val="00770816"/>
    <w:rsid w:val="00792F02"/>
    <w:rsid w:val="007A361E"/>
    <w:rsid w:val="007A475B"/>
    <w:rsid w:val="007A548E"/>
    <w:rsid w:val="007A7219"/>
    <w:rsid w:val="007B6DB7"/>
    <w:rsid w:val="007C2A14"/>
    <w:rsid w:val="007D0083"/>
    <w:rsid w:val="007E2443"/>
    <w:rsid w:val="007F66BA"/>
    <w:rsid w:val="008135A7"/>
    <w:rsid w:val="00835BE0"/>
    <w:rsid w:val="008461BC"/>
    <w:rsid w:val="00854C72"/>
    <w:rsid w:val="00861A5F"/>
    <w:rsid w:val="008C0988"/>
    <w:rsid w:val="008C3DE9"/>
    <w:rsid w:val="00900883"/>
    <w:rsid w:val="00901A19"/>
    <w:rsid w:val="00930585"/>
    <w:rsid w:val="00983C7B"/>
    <w:rsid w:val="00990FC9"/>
    <w:rsid w:val="009A4D83"/>
    <w:rsid w:val="009D221E"/>
    <w:rsid w:val="009D4789"/>
    <w:rsid w:val="00A025F9"/>
    <w:rsid w:val="00A261A5"/>
    <w:rsid w:val="00A43EF9"/>
    <w:rsid w:val="00A75BCD"/>
    <w:rsid w:val="00AD1976"/>
    <w:rsid w:val="00AD3D59"/>
    <w:rsid w:val="00AE1D49"/>
    <w:rsid w:val="00B02B3D"/>
    <w:rsid w:val="00B50AB9"/>
    <w:rsid w:val="00B51935"/>
    <w:rsid w:val="00B5361B"/>
    <w:rsid w:val="00B63640"/>
    <w:rsid w:val="00BA6259"/>
    <w:rsid w:val="00BD3E20"/>
    <w:rsid w:val="00BF181E"/>
    <w:rsid w:val="00BF2F68"/>
    <w:rsid w:val="00C20587"/>
    <w:rsid w:val="00C3361C"/>
    <w:rsid w:val="00C422F5"/>
    <w:rsid w:val="00C67E40"/>
    <w:rsid w:val="00C718C7"/>
    <w:rsid w:val="00C83AEC"/>
    <w:rsid w:val="00C965FE"/>
    <w:rsid w:val="00CC7D81"/>
    <w:rsid w:val="00CE041A"/>
    <w:rsid w:val="00CE2FEC"/>
    <w:rsid w:val="00CF11B6"/>
    <w:rsid w:val="00D126AB"/>
    <w:rsid w:val="00D16120"/>
    <w:rsid w:val="00D2547B"/>
    <w:rsid w:val="00D261B8"/>
    <w:rsid w:val="00D712BC"/>
    <w:rsid w:val="00D83030"/>
    <w:rsid w:val="00D83471"/>
    <w:rsid w:val="00D844E4"/>
    <w:rsid w:val="00DB181C"/>
    <w:rsid w:val="00DD3D76"/>
    <w:rsid w:val="00DD4141"/>
    <w:rsid w:val="00DE3257"/>
    <w:rsid w:val="00DE6C3E"/>
    <w:rsid w:val="00DF3966"/>
    <w:rsid w:val="00E058C3"/>
    <w:rsid w:val="00E1635F"/>
    <w:rsid w:val="00E2399E"/>
    <w:rsid w:val="00E42848"/>
    <w:rsid w:val="00E463AA"/>
    <w:rsid w:val="00E526E9"/>
    <w:rsid w:val="00E763F2"/>
    <w:rsid w:val="00E94624"/>
    <w:rsid w:val="00E947CA"/>
    <w:rsid w:val="00E960B1"/>
    <w:rsid w:val="00EC2BE6"/>
    <w:rsid w:val="00EE65BE"/>
    <w:rsid w:val="00EF2CBF"/>
    <w:rsid w:val="00EF7522"/>
    <w:rsid w:val="00F315CB"/>
    <w:rsid w:val="00F36F7F"/>
    <w:rsid w:val="00F40733"/>
    <w:rsid w:val="00F47CA2"/>
    <w:rsid w:val="00FA72CC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A8D764"/>
  <w15:chartTrackingRefBased/>
  <w15:docId w15:val="{AB7791D6-12B8-4369-91B6-AC1D44AE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30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0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C42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28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848"/>
    <w:rPr>
      <w:rFonts w:ascii="Calibri" w:eastAsia="Calibri" w:hAnsi="Calibri" w:cs="Calibri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428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848"/>
    <w:rPr>
      <w:rFonts w:ascii="Calibri" w:eastAsia="Calibri" w:hAnsi="Calibri" w:cs="Calibri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40A8B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97141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D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4B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Alonso Alfaro Leturia - O/S</dc:creator>
  <cp:keywords/>
  <dc:description/>
  <cp:lastModifiedBy>Jannina Marien Gandarillas Matheus - O/S</cp:lastModifiedBy>
  <cp:revision>3</cp:revision>
  <cp:lastPrinted>2023-10-18T15:06:00Z</cp:lastPrinted>
  <dcterms:created xsi:type="dcterms:W3CDTF">2023-10-18T15:04:00Z</dcterms:created>
  <dcterms:modified xsi:type="dcterms:W3CDTF">2023-10-18T15:11:00Z</dcterms:modified>
</cp:coreProperties>
</file>