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010" w:rsidRDefault="00313010" w:rsidP="003130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13010">
        <w:rPr>
          <w:rFonts w:ascii="Arial" w:hAnsi="Arial" w:cs="Arial"/>
          <w:b/>
          <w:sz w:val="24"/>
          <w:szCs w:val="24"/>
          <w:u w:val="single"/>
        </w:rPr>
        <w:t>NOTA DE PRENSA</w:t>
      </w:r>
      <w:bookmarkStart w:id="0" w:name="_GoBack"/>
      <w:bookmarkEnd w:id="0"/>
    </w:p>
    <w:p w:rsidR="00313010" w:rsidRPr="00591B91" w:rsidRDefault="00A4558F" w:rsidP="00591B91">
      <w:pPr>
        <w:jc w:val="center"/>
        <w:rPr>
          <w:rFonts w:ascii="Arial" w:hAnsi="Arial" w:cs="Arial"/>
          <w:b/>
          <w:sz w:val="27"/>
          <w:szCs w:val="27"/>
        </w:rPr>
      </w:pPr>
      <w:r w:rsidRPr="00591B91">
        <w:rPr>
          <w:rFonts w:ascii="Arial" w:hAnsi="Arial" w:cs="Arial"/>
          <w:b/>
          <w:sz w:val="27"/>
          <w:szCs w:val="27"/>
        </w:rPr>
        <w:t>Produce</w:t>
      </w:r>
      <w:r w:rsidR="00AF15EF">
        <w:rPr>
          <w:rFonts w:ascii="Arial" w:hAnsi="Arial" w:cs="Arial"/>
          <w:b/>
          <w:sz w:val="27"/>
          <w:szCs w:val="27"/>
        </w:rPr>
        <w:t xml:space="preserve"> promueve</w:t>
      </w:r>
      <w:r w:rsidRPr="00591B91">
        <w:rPr>
          <w:rFonts w:ascii="Arial" w:hAnsi="Arial" w:cs="Arial"/>
          <w:b/>
          <w:sz w:val="27"/>
          <w:szCs w:val="27"/>
        </w:rPr>
        <w:t xml:space="preserve"> campaña </w:t>
      </w:r>
      <w:r w:rsidR="00591B91" w:rsidRPr="00591B91">
        <w:rPr>
          <w:rFonts w:ascii="Arial" w:hAnsi="Arial" w:cs="Arial"/>
          <w:b/>
          <w:sz w:val="27"/>
          <w:szCs w:val="27"/>
          <w:lang w:val="es-ES"/>
        </w:rPr>
        <w:t>“De día y de noche, rico pescadito” en la región La Libertad para incrementar consumo de este alimento</w:t>
      </w:r>
    </w:p>
    <w:p w:rsidR="00591B91" w:rsidRPr="00591B91" w:rsidRDefault="00591B91" w:rsidP="00591B91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es-ES"/>
        </w:rPr>
        <w:t xml:space="preserve">Se </w:t>
      </w:r>
      <w:r w:rsidRPr="00A4558F">
        <w:rPr>
          <w:rFonts w:ascii="Arial" w:hAnsi="Arial" w:cs="Arial"/>
          <w:bCs/>
          <w:sz w:val="24"/>
          <w:szCs w:val="24"/>
          <w:lang w:val="es-ES"/>
        </w:rPr>
        <w:t>promoverá preparaciones saludables, cotid</w:t>
      </w:r>
      <w:r>
        <w:rPr>
          <w:rFonts w:ascii="Arial" w:hAnsi="Arial" w:cs="Arial"/>
          <w:bCs/>
          <w:sz w:val="24"/>
          <w:szCs w:val="24"/>
          <w:lang w:val="es-ES"/>
        </w:rPr>
        <w:t xml:space="preserve">ianas y al alcance del bolsillo, </w:t>
      </w:r>
      <w:r w:rsidRPr="00A4558F">
        <w:rPr>
          <w:rFonts w:ascii="Arial" w:hAnsi="Arial" w:cs="Arial"/>
          <w:bCs/>
          <w:sz w:val="24"/>
          <w:szCs w:val="24"/>
          <w:lang w:val="es-ES"/>
        </w:rPr>
        <w:t>teniendo c</w:t>
      </w:r>
      <w:r>
        <w:rPr>
          <w:rFonts w:ascii="Arial" w:hAnsi="Arial" w:cs="Arial"/>
          <w:bCs/>
          <w:sz w:val="24"/>
          <w:szCs w:val="24"/>
          <w:lang w:val="es-ES"/>
        </w:rPr>
        <w:t>omo insumo principal el pescado y</w:t>
      </w:r>
      <w:r w:rsidRPr="00A4558F">
        <w:rPr>
          <w:rFonts w:ascii="Arial" w:hAnsi="Arial" w:cs="Arial"/>
          <w:bCs/>
          <w:sz w:val="24"/>
          <w:szCs w:val="24"/>
          <w:lang w:val="es-ES"/>
        </w:rPr>
        <w:t xml:space="preserve"> contribuyendo así a un Perú sin anemia.</w:t>
      </w:r>
    </w:p>
    <w:p w:rsidR="00591B91" w:rsidRPr="00AF15EF" w:rsidRDefault="00591B91" w:rsidP="00591B91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es-ES"/>
        </w:rPr>
        <w:t xml:space="preserve">A través del programa “A Comer Pescado”, se prevé colocar este 2023 alrededor de </w:t>
      </w:r>
      <w:r w:rsidRPr="00A4558F">
        <w:rPr>
          <w:rFonts w:ascii="Arial" w:hAnsi="Arial" w:cs="Arial"/>
          <w:bCs/>
          <w:sz w:val="24"/>
          <w:szCs w:val="24"/>
          <w:lang w:val="es-ES"/>
        </w:rPr>
        <w:t>2900 toneladas de pescado fresco en favor de la población más vulnerable del Perú.</w:t>
      </w:r>
    </w:p>
    <w:p w:rsidR="00AF15EF" w:rsidRPr="00591B91" w:rsidRDefault="00AF15EF" w:rsidP="00AF15EF">
      <w:pPr>
        <w:pStyle w:val="Prrafodelista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F15EF" w:rsidRDefault="004126C0" w:rsidP="004126C0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126C0">
        <w:rPr>
          <w:rFonts w:ascii="Arial" w:hAnsi="Arial" w:cs="Arial"/>
          <w:bCs/>
          <w:sz w:val="24"/>
          <w:szCs w:val="24"/>
        </w:rPr>
        <w:t xml:space="preserve">La ministra de la Producción, Ana María </w:t>
      </w:r>
      <w:proofErr w:type="spellStart"/>
      <w:r w:rsidRPr="004126C0">
        <w:rPr>
          <w:rFonts w:ascii="Arial" w:hAnsi="Arial" w:cs="Arial"/>
          <w:bCs/>
          <w:sz w:val="24"/>
          <w:szCs w:val="24"/>
        </w:rPr>
        <w:t>Choquehuanca</w:t>
      </w:r>
      <w:proofErr w:type="spellEnd"/>
      <w:r w:rsidRPr="004126C0">
        <w:rPr>
          <w:rFonts w:ascii="Arial" w:hAnsi="Arial" w:cs="Arial"/>
          <w:bCs/>
          <w:sz w:val="24"/>
          <w:szCs w:val="24"/>
        </w:rPr>
        <w:t xml:space="preserve">, llegó </w:t>
      </w:r>
      <w:r w:rsidR="00BD2468">
        <w:rPr>
          <w:rFonts w:ascii="Arial" w:hAnsi="Arial" w:cs="Arial"/>
          <w:bCs/>
          <w:sz w:val="24"/>
          <w:szCs w:val="24"/>
        </w:rPr>
        <w:t xml:space="preserve">a la </w:t>
      </w:r>
      <w:r>
        <w:rPr>
          <w:rFonts w:ascii="Arial" w:hAnsi="Arial" w:cs="Arial"/>
          <w:bCs/>
          <w:sz w:val="24"/>
          <w:szCs w:val="24"/>
        </w:rPr>
        <w:t xml:space="preserve">ciudad de Trujillo </w:t>
      </w:r>
      <w:r w:rsidR="00BD2468">
        <w:rPr>
          <w:rFonts w:ascii="Arial" w:hAnsi="Arial" w:cs="Arial"/>
          <w:bCs/>
          <w:sz w:val="24"/>
          <w:szCs w:val="24"/>
        </w:rPr>
        <w:t xml:space="preserve">donde </w:t>
      </w:r>
      <w:r w:rsidRPr="004126C0">
        <w:rPr>
          <w:rFonts w:ascii="Arial" w:hAnsi="Arial" w:cs="Arial"/>
          <w:bCs/>
          <w:sz w:val="24"/>
          <w:szCs w:val="24"/>
        </w:rPr>
        <w:t xml:space="preserve">anunció el lanzamiento de la </w:t>
      </w:r>
      <w:r>
        <w:rPr>
          <w:rFonts w:ascii="Arial" w:hAnsi="Arial" w:cs="Arial"/>
          <w:bCs/>
          <w:sz w:val="24"/>
          <w:szCs w:val="24"/>
        </w:rPr>
        <w:t xml:space="preserve">campaña </w:t>
      </w:r>
      <w:r w:rsidRPr="004126C0">
        <w:rPr>
          <w:rFonts w:ascii="Arial" w:hAnsi="Arial" w:cs="Arial"/>
          <w:sz w:val="24"/>
          <w:szCs w:val="24"/>
          <w:lang w:val="es-ES"/>
        </w:rPr>
        <w:t>“De día y de noche, rico pescadito”</w:t>
      </w:r>
      <w:r>
        <w:rPr>
          <w:rFonts w:ascii="Arial" w:hAnsi="Arial" w:cs="Arial"/>
          <w:sz w:val="24"/>
          <w:szCs w:val="24"/>
          <w:lang w:val="es-ES"/>
        </w:rPr>
        <w:t>, con el propósito de incrementar el consumo de este alimento y así vencer a la anemia.</w:t>
      </w:r>
    </w:p>
    <w:p w:rsidR="00AF15EF" w:rsidRDefault="004126C0" w:rsidP="004126C0">
      <w:pPr>
        <w:spacing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 xml:space="preserve">“Esta </w:t>
      </w:r>
      <w:r w:rsidRPr="004126C0">
        <w:rPr>
          <w:rFonts w:ascii="Arial" w:hAnsi="Arial" w:cs="Arial"/>
          <w:bCs/>
          <w:sz w:val="24"/>
          <w:szCs w:val="24"/>
          <w:lang w:val="es-ES"/>
        </w:rPr>
        <w:t>promoverá preparaciones saludables, cotidianas y al alcance del bolsillo teniendo como insumo principal el pescado, contrib</w:t>
      </w:r>
      <w:r>
        <w:rPr>
          <w:rFonts w:ascii="Arial" w:hAnsi="Arial" w:cs="Arial"/>
          <w:bCs/>
          <w:sz w:val="24"/>
          <w:szCs w:val="24"/>
          <w:lang w:val="es-ES"/>
        </w:rPr>
        <w:t>uyendo así a un Perú sin anemia”, destacó.</w:t>
      </w:r>
    </w:p>
    <w:p w:rsidR="00AF15EF" w:rsidRDefault="004126C0" w:rsidP="004126C0">
      <w:pPr>
        <w:spacing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 xml:space="preserve">Asimismo, </w:t>
      </w:r>
      <w:r w:rsidR="00BD2468">
        <w:rPr>
          <w:rFonts w:ascii="Arial" w:hAnsi="Arial" w:cs="Arial"/>
          <w:bCs/>
          <w:sz w:val="24"/>
          <w:szCs w:val="24"/>
          <w:lang w:val="es-ES"/>
        </w:rPr>
        <w:t>mencionó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que se tendrá un convenio con la </w:t>
      </w:r>
      <w:r w:rsidRPr="004126C0">
        <w:rPr>
          <w:rFonts w:ascii="Arial" w:hAnsi="Arial" w:cs="Arial"/>
          <w:bCs/>
          <w:sz w:val="24"/>
          <w:szCs w:val="24"/>
          <w:lang w:val="es-ES"/>
        </w:rPr>
        <w:t>Asociación de Restauradores Marinos y Afines del Perú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(</w:t>
      </w:r>
      <w:proofErr w:type="spellStart"/>
      <w:r>
        <w:rPr>
          <w:rFonts w:ascii="Arial" w:hAnsi="Arial" w:cs="Arial"/>
          <w:bCs/>
          <w:sz w:val="24"/>
          <w:szCs w:val="24"/>
          <w:lang w:val="es-ES"/>
        </w:rPr>
        <w:t>Armap</w:t>
      </w:r>
      <w:proofErr w:type="spellEnd"/>
      <w:r>
        <w:rPr>
          <w:rFonts w:ascii="Arial" w:hAnsi="Arial" w:cs="Arial"/>
          <w:bCs/>
          <w:sz w:val="24"/>
          <w:szCs w:val="24"/>
          <w:lang w:val="es-ES"/>
        </w:rPr>
        <w:t xml:space="preserve">) para que los chefs puedan realizar Master </w:t>
      </w:r>
      <w:proofErr w:type="spellStart"/>
      <w:r>
        <w:rPr>
          <w:rFonts w:ascii="Arial" w:hAnsi="Arial" w:cs="Arial"/>
          <w:bCs/>
          <w:sz w:val="24"/>
          <w:szCs w:val="24"/>
          <w:lang w:val="es-ES"/>
        </w:rPr>
        <w:t>Class</w:t>
      </w:r>
      <w:proofErr w:type="spellEnd"/>
      <w:r>
        <w:rPr>
          <w:rFonts w:ascii="Arial" w:hAnsi="Arial" w:cs="Arial"/>
          <w:bCs/>
          <w:sz w:val="24"/>
          <w:szCs w:val="24"/>
          <w:lang w:val="es-ES"/>
        </w:rPr>
        <w:t xml:space="preserve"> con las lideresas de ollas comunes y comedores populares y así éstas puedan conocer nuevas recetas nutritivas</w:t>
      </w:r>
      <w:r w:rsidR="00BD2468">
        <w:rPr>
          <w:rFonts w:ascii="Arial" w:hAnsi="Arial" w:cs="Arial"/>
          <w:bCs/>
          <w:sz w:val="24"/>
          <w:szCs w:val="24"/>
          <w:lang w:val="es-ES"/>
        </w:rPr>
        <w:t xml:space="preserve"> y emprender</w:t>
      </w:r>
      <w:r>
        <w:rPr>
          <w:rFonts w:ascii="Arial" w:hAnsi="Arial" w:cs="Arial"/>
          <w:bCs/>
          <w:sz w:val="24"/>
          <w:szCs w:val="24"/>
          <w:lang w:val="es-ES"/>
        </w:rPr>
        <w:t>.</w:t>
      </w:r>
    </w:p>
    <w:p w:rsidR="00AF15EF" w:rsidRDefault="004126C0" w:rsidP="004126C0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</w:t>
      </w:r>
      <w:r w:rsidRPr="00A4558F">
        <w:rPr>
          <w:rFonts w:ascii="Arial" w:hAnsi="Arial" w:cs="Arial"/>
          <w:bCs/>
          <w:sz w:val="24"/>
          <w:szCs w:val="24"/>
        </w:rPr>
        <w:t>Comer pescado no solo es una opción deliciosa, sino una decisión inteligente para cuidar de nosotros y nuestros seres queridos</w:t>
      </w:r>
      <w:r>
        <w:rPr>
          <w:rFonts w:ascii="Arial" w:hAnsi="Arial" w:cs="Arial"/>
          <w:bCs/>
          <w:sz w:val="24"/>
          <w:szCs w:val="24"/>
        </w:rPr>
        <w:t>. Por eso, también vamos a apoyar a las mujeres para que puedan emprender en el tema gastronómico y obtengan ingresos adicionales para beneficio de sus familias, añadió”.</w:t>
      </w:r>
    </w:p>
    <w:p w:rsidR="00AF15EF" w:rsidRPr="004126C0" w:rsidRDefault="004126C0" w:rsidP="004126C0">
      <w:pPr>
        <w:spacing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Choquehuanca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sostuvo que su gestión inten</w:t>
      </w:r>
      <w:r w:rsidRPr="004126C0">
        <w:rPr>
          <w:rFonts w:ascii="Arial" w:hAnsi="Arial" w:cs="Arial"/>
          <w:bCs/>
          <w:sz w:val="24"/>
          <w:szCs w:val="24"/>
        </w:rPr>
        <w:t xml:space="preserve">sificará </w:t>
      </w:r>
      <w:r w:rsidRPr="004126C0">
        <w:rPr>
          <w:rFonts w:ascii="Arial" w:hAnsi="Arial" w:cs="Arial"/>
          <w:bCs/>
          <w:sz w:val="24"/>
          <w:szCs w:val="24"/>
          <w:lang w:val="es-ES"/>
        </w:rPr>
        <w:t xml:space="preserve">las campañas de promoción de pescado fresco a nivel nacional, sobre todo en las regiones de mayor índice de anemia y desnutrición. </w:t>
      </w:r>
    </w:p>
    <w:p w:rsidR="00AF15EF" w:rsidRPr="004126C0" w:rsidRDefault="004126C0" w:rsidP="004126C0">
      <w:pPr>
        <w:spacing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4126C0">
        <w:rPr>
          <w:rFonts w:ascii="Arial" w:hAnsi="Arial" w:cs="Arial"/>
          <w:bCs/>
          <w:sz w:val="24"/>
          <w:szCs w:val="24"/>
          <w:lang w:val="es-ES"/>
        </w:rPr>
        <w:t>“Durante este año lograremos ejecutar más de 7 mil campañas de promoción, las cuales nos permitirán colocar 2 900 toneladas de pescado fresco en favor de la población más vulnerable del Perú”, aseveró.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</w:p>
    <w:p w:rsidR="00AF15EF" w:rsidRDefault="009D2EE2" w:rsidP="004126C0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Durante su participación en la clausura del </w:t>
      </w:r>
      <w:r w:rsidRPr="00A4558F">
        <w:rPr>
          <w:rFonts w:ascii="Arial" w:hAnsi="Arial" w:cs="Arial"/>
          <w:bCs/>
          <w:sz w:val="24"/>
          <w:szCs w:val="24"/>
        </w:rPr>
        <w:t>programa de capac</w:t>
      </w:r>
      <w:r>
        <w:rPr>
          <w:rFonts w:ascii="Arial" w:hAnsi="Arial" w:cs="Arial"/>
          <w:bCs/>
          <w:sz w:val="24"/>
          <w:szCs w:val="24"/>
        </w:rPr>
        <w:t>itación “Cocinando con pescado” en La Libertad, la ministra indicó que e</w:t>
      </w:r>
      <w:r w:rsidRPr="009D2EE2">
        <w:rPr>
          <w:rFonts w:ascii="Arial" w:hAnsi="Arial" w:cs="Arial"/>
          <w:bCs/>
          <w:sz w:val="24"/>
          <w:szCs w:val="24"/>
        </w:rPr>
        <w:t>n la provincia de Trujillo se ha logrado intervenir en 263 ollas comunes y 74 comedores populares; permit</w:t>
      </w:r>
      <w:r>
        <w:rPr>
          <w:rFonts w:ascii="Arial" w:hAnsi="Arial" w:cs="Arial"/>
          <w:bCs/>
          <w:sz w:val="24"/>
          <w:szCs w:val="24"/>
        </w:rPr>
        <w:t xml:space="preserve">iendo beneficiar a 13 </w:t>
      </w:r>
      <w:r w:rsidRPr="009D2EE2">
        <w:rPr>
          <w:rFonts w:ascii="Arial" w:hAnsi="Arial" w:cs="Arial"/>
          <w:bCs/>
          <w:sz w:val="24"/>
          <w:szCs w:val="24"/>
        </w:rPr>
        <w:t>150 usuar</w:t>
      </w:r>
      <w:r>
        <w:rPr>
          <w:rFonts w:ascii="Arial" w:hAnsi="Arial" w:cs="Arial"/>
          <w:bCs/>
          <w:sz w:val="24"/>
          <w:szCs w:val="24"/>
        </w:rPr>
        <w:t>io/as de las ollas comunes y 3</w:t>
      </w:r>
      <w:r w:rsidRPr="009D2EE2">
        <w:rPr>
          <w:rFonts w:ascii="Arial" w:hAnsi="Arial" w:cs="Arial"/>
          <w:bCs/>
          <w:sz w:val="24"/>
          <w:szCs w:val="24"/>
        </w:rPr>
        <w:t>620 usuario/as de comedores populares, que se encuentran en condición de vulnerabilidad social y alimentaria.</w:t>
      </w:r>
    </w:p>
    <w:p w:rsidR="004866E8" w:rsidRPr="004866E8" w:rsidRDefault="004866E8" w:rsidP="004866E8">
      <w:pPr>
        <w:rPr>
          <w:rFonts w:ascii="Arial" w:hAnsi="Arial" w:cs="Arial"/>
          <w:b/>
          <w:sz w:val="24"/>
          <w:szCs w:val="24"/>
        </w:rPr>
      </w:pPr>
      <w:r w:rsidRPr="004866E8">
        <w:rPr>
          <w:rFonts w:ascii="Arial" w:hAnsi="Arial" w:cs="Arial"/>
          <w:b/>
          <w:sz w:val="24"/>
          <w:szCs w:val="24"/>
        </w:rPr>
        <w:t xml:space="preserve">Visita al DPA Morín y el </w:t>
      </w:r>
      <w:proofErr w:type="spellStart"/>
      <w:r w:rsidRPr="004866E8">
        <w:rPr>
          <w:rFonts w:ascii="Arial" w:hAnsi="Arial" w:cs="Arial"/>
          <w:b/>
          <w:sz w:val="24"/>
          <w:szCs w:val="24"/>
        </w:rPr>
        <w:t>CITEcal</w:t>
      </w:r>
      <w:proofErr w:type="spellEnd"/>
    </w:p>
    <w:p w:rsidR="00313010" w:rsidRDefault="004866E8" w:rsidP="004866E8">
      <w:pPr>
        <w:jc w:val="both"/>
        <w:rPr>
          <w:rFonts w:ascii="Arial" w:hAnsi="Arial" w:cs="Arial"/>
          <w:sz w:val="24"/>
          <w:szCs w:val="24"/>
        </w:rPr>
      </w:pPr>
      <w:r w:rsidRPr="004866E8">
        <w:rPr>
          <w:rFonts w:ascii="Arial" w:hAnsi="Arial" w:cs="Arial"/>
          <w:sz w:val="24"/>
          <w:szCs w:val="24"/>
        </w:rPr>
        <w:t>En horas de la mañana, la titular de Produce</w:t>
      </w:r>
      <w:r w:rsidR="00AF15EF">
        <w:rPr>
          <w:rFonts w:ascii="Arial" w:hAnsi="Arial" w:cs="Arial"/>
          <w:sz w:val="24"/>
          <w:szCs w:val="24"/>
        </w:rPr>
        <w:t xml:space="preserve">, junto a la viceministra de Pesca y Acuicultura, </w:t>
      </w:r>
      <w:proofErr w:type="spellStart"/>
      <w:r w:rsidR="00AF15EF">
        <w:rPr>
          <w:rFonts w:ascii="Arial" w:hAnsi="Arial" w:cs="Arial"/>
          <w:sz w:val="24"/>
          <w:szCs w:val="24"/>
        </w:rPr>
        <w:t>Desilú</w:t>
      </w:r>
      <w:proofErr w:type="spellEnd"/>
      <w:r w:rsidR="00AF15EF">
        <w:rPr>
          <w:rFonts w:ascii="Arial" w:hAnsi="Arial" w:cs="Arial"/>
          <w:sz w:val="24"/>
          <w:szCs w:val="24"/>
        </w:rPr>
        <w:t xml:space="preserve"> León, </w:t>
      </w:r>
      <w:r w:rsidRPr="004866E8">
        <w:rPr>
          <w:rFonts w:ascii="Arial" w:hAnsi="Arial" w:cs="Arial"/>
          <w:sz w:val="24"/>
          <w:szCs w:val="24"/>
        </w:rPr>
        <w:t>también visitó el Desembarcadero Pesquero Artesanal (DPA) Puerto Morín, el cual viene siendo modernizado</w:t>
      </w:r>
      <w:r w:rsidR="00AF15EF">
        <w:rPr>
          <w:rFonts w:ascii="Arial" w:hAnsi="Arial" w:cs="Arial"/>
          <w:sz w:val="24"/>
          <w:szCs w:val="24"/>
        </w:rPr>
        <w:t>.</w:t>
      </w:r>
    </w:p>
    <w:p w:rsidR="00AF15EF" w:rsidRPr="004866E8" w:rsidRDefault="00AF15EF" w:rsidP="004866E8">
      <w:pPr>
        <w:jc w:val="both"/>
        <w:rPr>
          <w:rFonts w:ascii="Arial" w:hAnsi="Arial" w:cs="Arial"/>
          <w:sz w:val="24"/>
          <w:szCs w:val="24"/>
        </w:rPr>
      </w:pPr>
    </w:p>
    <w:p w:rsidR="00AF15EF" w:rsidRPr="004866E8" w:rsidRDefault="004866E8" w:rsidP="004866E8">
      <w:pPr>
        <w:jc w:val="both"/>
        <w:rPr>
          <w:rFonts w:ascii="Arial" w:hAnsi="Arial" w:cs="Arial"/>
          <w:bCs/>
          <w:sz w:val="24"/>
          <w:szCs w:val="24"/>
        </w:rPr>
      </w:pPr>
      <w:r w:rsidRPr="004866E8">
        <w:rPr>
          <w:rFonts w:ascii="Arial" w:hAnsi="Arial" w:cs="Arial"/>
          <w:sz w:val="24"/>
          <w:szCs w:val="24"/>
        </w:rPr>
        <w:t>Desde Produce, a través del Fondepes, existe un compromiso para</w:t>
      </w:r>
      <w:r w:rsidR="00313010" w:rsidRPr="004866E8">
        <w:rPr>
          <w:rFonts w:ascii="Arial" w:hAnsi="Arial" w:cs="Arial"/>
          <w:bCs/>
          <w:sz w:val="24"/>
          <w:szCs w:val="24"/>
        </w:rPr>
        <w:t xml:space="preserve"> reducir la brecha en infraestructura y equipamiento pesquero artesanal y acuícola. Esta iniciativa tiene como objetivo optimizar el desarrollo de las actividades productivas de la comunidad, así como mejorar la calidad de los recursos hidrobiológicos extraídos. </w:t>
      </w:r>
    </w:p>
    <w:p w:rsidR="00AF15EF" w:rsidRDefault="004866E8" w:rsidP="004866E8">
      <w:pPr>
        <w:rPr>
          <w:rFonts w:ascii="Arial" w:hAnsi="Arial" w:cs="Arial"/>
          <w:sz w:val="24"/>
          <w:szCs w:val="24"/>
        </w:rPr>
      </w:pPr>
      <w:r w:rsidRPr="004866E8">
        <w:rPr>
          <w:rFonts w:ascii="Arial" w:hAnsi="Arial" w:cs="Arial"/>
          <w:bCs/>
          <w:sz w:val="24"/>
          <w:szCs w:val="24"/>
        </w:rPr>
        <w:t xml:space="preserve">De igual manera, recorrió las instalaciones del </w:t>
      </w:r>
      <w:proofErr w:type="spellStart"/>
      <w:r w:rsidRPr="004866E8">
        <w:rPr>
          <w:rFonts w:ascii="Arial" w:hAnsi="Arial" w:cs="Arial"/>
          <w:sz w:val="24"/>
          <w:szCs w:val="24"/>
        </w:rPr>
        <w:t>CITEcuero</w:t>
      </w:r>
      <w:proofErr w:type="spellEnd"/>
      <w:r w:rsidRPr="004866E8">
        <w:rPr>
          <w:rFonts w:ascii="Arial" w:hAnsi="Arial" w:cs="Arial"/>
          <w:sz w:val="24"/>
          <w:szCs w:val="24"/>
        </w:rPr>
        <w:t xml:space="preserve"> y Calzado, </w:t>
      </w:r>
      <w:r w:rsidR="00313010" w:rsidRPr="004866E8">
        <w:rPr>
          <w:rFonts w:ascii="Arial" w:hAnsi="Arial" w:cs="Arial"/>
          <w:sz w:val="24"/>
          <w:szCs w:val="24"/>
        </w:rPr>
        <w:t xml:space="preserve">ubicado en la ciudad de </w:t>
      </w:r>
      <w:r w:rsidR="0024730C">
        <w:rPr>
          <w:rFonts w:ascii="Arial" w:hAnsi="Arial" w:cs="Arial"/>
          <w:sz w:val="24"/>
          <w:szCs w:val="24"/>
        </w:rPr>
        <w:t xml:space="preserve">Trujillo, región La Libertad, donde visitó la planta piloto de calzado, la planta piloto de curtimbre, y el área de diseño. </w:t>
      </w:r>
    </w:p>
    <w:p w:rsidR="004866E8" w:rsidRPr="0024730C" w:rsidRDefault="0024730C" w:rsidP="0024730C">
      <w:pPr>
        <w:jc w:val="both"/>
        <w:rPr>
          <w:rFonts w:ascii="Arial" w:hAnsi="Arial" w:cs="Arial"/>
          <w:sz w:val="24"/>
          <w:szCs w:val="24"/>
        </w:rPr>
      </w:pPr>
      <w:r w:rsidRPr="0024730C">
        <w:rPr>
          <w:rFonts w:ascii="Arial" w:hAnsi="Arial" w:cs="Arial"/>
          <w:sz w:val="24"/>
          <w:szCs w:val="24"/>
        </w:rPr>
        <w:t xml:space="preserve">Se debe señalar que en el periodo 2016 a agosto 2023, </w:t>
      </w:r>
      <w:r w:rsidR="00A4558F">
        <w:rPr>
          <w:rFonts w:ascii="Arial" w:hAnsi="Arial" w:cs="Arial"/>
          <w:sz w:val="24"/>
          <w:szCs w:val="24"/>
        </w:rPr>
        <w:t xml:space="preserve">el </w:t>
      </w:r>
      <w:proofErr w:type="spellStart"/>
      <w:r w:rsidR="00A4558F">
        <w:rPr>
          <w:rFonts w:ascii="Arial" w:hAnsi="Arial" w:cs="Arial"/>
          <w:sz w:val="24"/>
          <w:szCs w:val="24"/>
        </w:rPr>
        <w:t>CITEcuero</w:t>
      </w:r>
      <w:proofErr w:type="spellEnd"/>
      <w:r w:rsidR="00A4558F">
        <w:rPr>
          <w:rFonts w:ascii="Arial" w:hAnsi="Arial" w:cs="Arial"/>
          <w:sz w:val="24"/>
          <w:szCs w:val="24"/>
        </w:rPr>
        <w:t xml:space="preserve"> y Calzado brindó un total de 20 </w:t>
      </w:r>
      <w:r w:rsidRPr="0024730C">
        <w:rPr>
          <w:rFonts w:ascii="Arial" w:hAnsi="Arial" w:cs="Arial"/>
          <w:sz w:val="24"/>
          <w:szCs w:val="24"/>
        </w:rPr>
        <w:t>900 servicios de transferencia tecnológica</w:t>
      </w:r>
      <w:r w:rsidR="00A4558F">
        <w:rPr>
          <w:rFonts w:ascii="Arial" w:hAnsi="Arial" w:cs="Arial"/>
          <w:sz w:val="24"/>
          <w:szCs w:val="24"/>
        </w:rPr>
        <w:t xml:space="preserve"> e innovación, en atención de 3</w:t>
      </w:r>
      <w:r w:rsidRPr="0024730C">
        <w:rPr>
          <w:rFonts w:ascii="Arial" w:hAnsi="Arial" w:cs="Arial"/>
          <w:sz w:val="24"/>
          <w:szCs w:val="24"/>
        </w:rPr>
        <w:t>861 clientes.</w:t>
      </w:r>
    </w:p>
    <w:p w:rsidR="004866E8" w:rsidRPr="004866E8" w:rsidRDefault="004866E8" w:rsidP="0024730C">
      <w:pPr>
        <w:jc w:val="right"/>
        <w:rPr>
          <w:rFonts w:ascii="Arial" w:hAnsi="Arial" w:cs="Arial"/>
          <w:b/>
          <w:sz w:val="24"/>
          <w:szCs w:val="24"/>
        </w:rPr>
      </w:pPr>
      <w:r w:rsidRPr="004866E8">
        <w:rPr>
          <w:rFonts w:ascii="Arial" w:hAnsi="Arial" w:cs="Arial"/>
          <w:b/>
          <w:sz w:val="24"/>
          <w:szCs w:val="24"/>
        </w:rPr>
        <w:t>La Li</w:t>
      </w:r>
      <w:r>
        <w:rPr>
          <w:rFonts w:ascii="Arial" w:hAnsi="Arial" w:cs="Arial"/>
          <w:b/>
          <w:sz w:val="24"/>
          <w:szCs w:val="24"/>
        </w:rPr>
        <w:t>b</w:t>
      </w:r>
      <w:r w:rsidRPr="004866E8">
        <w:rPr>
          <w:rFonts w:ascii="Arial" w:hAnsi="Arial" w:cs="Arial"/>
          <w:b/>
          <w:sz w:val="24"/>
          <w:szCs w:val="24"/>
        </w:rPr>
        <w:t xml:space="preserve">ertad, </w:t>
      </w:r>
      <w:r w:rsidR="00AF15EF">
        <w:rPr>
          <w:rFonts w:ascii="Arial" w:hAnsi="Arial" w:cs="Arial"/>
          <w:b/>
          <w:sz w:val="24"/>
          <w:szCs w:val="24"/>
        </w:rPr>
        <w:t xml:space="preserve">27 </w:t>
      </w:r>
      <w:r w:rsidRPr="004866E8">
        <w:rPr>
          <w:rFonts w:ascii="Arial" w:hAnsi="Arial" w:cs="Arial"/>
          <w:b/>
          <w:sz w:val="24"/>
          <w:szCs w:val="24"/>
        </w:rPr>
        <w:t>octubre de 2023</w:t>
      </w:r>
    </w:p>
    <w:p w:rsidR="004866E8" w:rsidRDefault="004866E8" w:rsidP="004866E8">
      <w:pPr>
        <w:rPr>
          <w:rFonts w:ascii="Arial" w:hAnsi="Arial" w:cs="Arial"/>
          <w:sz w:val="24"/>
          <w:szCs w:val="24"/>
        </w:rPr>
      </w:pPr>
    </w:p>
    <w:sectPr w:rsidR="004866E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27E" w:rsidRDefault="0096327E" w:rsidP="00313010">
      <w:pPr>
        <w:spacing w:after="0" w:line="240" w:lineRule="auto"/>
      </w:pPr>
      <w:r>
        <w:separator/>
      </w:r>
    </w:p>
  </w:endnote>
  <w:endnote w:type="continuationSeparator" w:id="0">
    <w:p w:rsidR="0096327E" w:rsidRDefault="0096327E" w:rsidP="0031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27E" w:rsidRDefault="0096327E" w:rsidP="00313010">
      <w:pPr>
        <w:spacing w:after="0" w:line="240" w:lineRule="auto"/>
      </w:pPr>
      <w:r>
        <w:separator/>
      </w:r>
    </w:p>
  </w:footnote>
  <w:footnote w:type="continuationSeparator" w:id="0">
    <w:p w:rsidR="0096327E" w:rsidRDefault="0096327E" w:rsidP="00313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010" w:rsidRDefault="00313010">
    <w:pPr>
      <w:pStyle w:val="Encabezado"/>
    </w:pPr>
    <w:r w:rsidRPr="00AC7C8D"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58AA6487" wp14:editId="1BDF6D15">
          <wp:simplePos x="0" y="0"/>
          <wp:positionH relativeFrom="column">
            <wp:posOffset>-628650</wp:posOffset>
          </wp:positionH>
          <wp:positionV relativeFrom="paragraph">
            <wp:posOffset>-286385</wp:posOffset>
          </wp:positionV>
          <wp:extent cx="2447925" cy="685800"/>
          <wp:effectExtent l="0" t="0" r="9525" b="0"/>
          <wp:wrapSquare wrapText="bothSides"/>
          <wp:docPr id="147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1" t="2188" r="54566" b="90603"/>
                  <a:stretch/>
                </pic:blipFill>
                <pic:spPr bwMode="auto">
                  <a:xfrm>
                    <a:off x="0" y="0"/>
                    <a:ext cx="2447925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085A"/>
    <w:multiLevelType w:val="hybridMultilevel"/>
    <w:tmpl w:val="30B0246C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64094"/>
    <w:multiLevelType w:val="hybridMultilevel"/>
    <w:tmpl w:val="761459A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7C0FA6"/>
    <w:multiLevelType w:val="hybridMultilevel"/>
    <w:tmpl w:val="0D6E929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81C82"/>
    <w:multiLevelType w:val="hybridMultilevel"/>
    <w:tmpl w:val="D76CF64A"/>
    <w:lvl w:ilvl="0" w:tplc="A3989AE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8000C9"/>
    <w:multiLevelType w:val="hybridMultilevel"/>
    <w:tmpl w:val="582A99A0"/>
    <w:lvl w:ilvl="0" w:tplc="3C469866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  <w:bCs/>
        <w:color w:val="000000" w:themeColor="text1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31"/>
    <w:rsid w:val="000049CB"/>
    <w:rsid w:val="00171531"/>
    <w:rsid w:val="001C7D2B"/>
    <w:rsid w:val="0024730C"/>
    <w:rsid w:val="00313010"/>
    <w:rsid w:val="004126C0"/>
    <w:rsid w:val="004866E8"/>
    <w:rsid w:val="00591B91"/>
    <w:rsid w:val="00595F71"/>
    <w:rsid w:val="00644457"/>
    <w:rsid w:val="0096327E"/>
    <w:rsid w:val="009D2EE2"/>
    <w:rsid w:val="00A4558F"/>
    <w:rsid w:val="00AF15EF"/>
    <w:rsid w:val="00BD2468"/>
    <w:rsid w:val="00DC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EE64DD"/>
  <w15:chartTrackingRefBased/>
  <w15:docId w15:val="{6D4BA866-12D9-43C7-964D-30E98D7F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3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3010"/>
  </w:style>
  <w:style w:type="paragraph" w:styleId="Piedepgina">
    <w:name w:val="footer"/>
    <w:basedOn w:val="Normal"/>
    <w:link w:val="PiedepginaCar"/>
    <w:uiPriority w:val="99"/>
    <w:unhideWhenUsed/>
    <w:rsid w:val="00313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3010"/>
  </w:style>
  <w:style w:type="paragraph" w:styleId="Prrafodelista">
    <w:name w:val="List Paragraph"/>
    <w:aliases w:val="List Paragraph-Thesis,TITULO A,Titulo de Fígura,Fundamentacion,Number List 1,N°,ESTILO2,Lista 123,Cita Pie de Página,Lista sin Numerar,Cuadro 2-1,Footnote,List Paragraph1,SUBTITU MEMO,Dot pt,No Spacing1,List Paragraph Char Char Char,Ha"/>
    <w:basedOn w:val="Normal"/>
    <w:link w:val="PrrafodelistaCar"/>
    <w:uiPriority w:val="34"/>
    <w:qFormat/>
    <w:rsid w:val="00313010"/>
    <w:pPr>
      <w:spacing w:after="200" w:line="288" w:lineRule="auto"/>
      <w:ind w:left="720"/>
      <w:contextualSpacing/>
    </w:pPr>
    <w:rPr>
      <w:rFonts w:eastAsiaTheme="minorEastAsia"/>
      <w:sz w:val="21"/>
      <w:szCs w:val="21"/>
      <w:lang w:eastAsia="es-PE"/>
    </w:rPr>
  </w:style>
  <w:style w:type="character" w:customStyle="1" w:styleId="PrrafodelistaCar">
    <w:name w:val="Párrafo de lista Car"/>
    <w:aliases w:val="List Paragraph-Thesis Car,TITULO A Car,Titulo de Fígura Car,Fundamentacion Car,Number List 1 Car,N° Car,ESTILO2 Car,Lista 123 Car,Cita Pie de Página Car,Lista sin Numerar Car,Cuadro 2-1 Car,Footnote Car,List Paragraph1 Car,Ha Car"/>
    <w:link w:val="Prrafodelista"/>
    <w:uiPriority w:val="34"/>
    <w:qFormat/>
    <w:rsid w:val="00313010"/>
    <w:rPr>
      <w:rFonts w:eastAsiaTheme="minorEastAsia"/>
      <w:sz w:val="21"/>
      <w:szCs w:val="21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Taipe Ballena</dc:creator>
  <cp:keywords/>
  <dc:description/>
  <cp:lastModifiedBy>Yojana Caterine Huarcaya Pantoja - O/S</cp:lastModifiedBy>
  <cp:revision>2</cp:revision>
  <dcterms:created xsi:type="dcterms:W3CDTF">2023-10-27T19:18:00Z</dcterms:created>
  <dcterms:modified xsi:type="dcterms:W3CDTF">2023-10-27T19:18:00Z</dcterms:modified>
</cp:coreProperties>
</file>