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68D" w:rsidRDefault="0096568D" w:rsidP="0096568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568D">
        <w:rPr>
          <w:rFonts w:ascii="Arial" w:hAnsi="Arial" w:cs="Arial"/>
          <w:b/>
          <w:sz w:val="24"/>
          <w:szCs w:val="24"/>
          <w:u w:val="single"/>
        </w:rPr>
        <w:t>NOTA DE PRENSA</w:t>
      </w:r>
    </w:p>
    <w:p w:rsidR="0096568D" w:rsidRPr="0096568D" w:rsidRDefault="0096568D" w:rsidP="0096568D">
      <w:pPr>
        <w:jc w:val="center"/>
        <w:rPr>
          <w:rFonts w:ascii="Arial" w:hAnsi="Arial" w:cs="Arial"/>
          <w:b/>
          <w:sz w:val="28"/>
          <w:szCs w:val="28"/>
        </w:rPr>
      </w:pPr>
      <w:r w:rsidRPr="0096568D">
        <w:rPr>
          <w:rFonts w:ascii="Arial" w:hAnsi="Arial" w:cs="Arial"/>
          <w:b/>
          <w:sz w:val="28"/>
          <w:szCs w:val="28"/>
        </w:rPr>
        <w:t xml:space="preserve">Ministra Choquehuanca: </w:t>
      </w:r>
      <w:r>
        <w:rPr>
          <w:rFonts w:ascii="Arial" w:hAnsi="Arial" w:cs="Arial"/>
          <w:b/>
          <w:sz w:val="28"/>
          <w:szCs w:val="28"/>
        </w:rPr>
        <w:t>“El gobierno ha cumplido su compromiso con los pescadores artesanales”</w:t>
      </w:r>
    </w:p>
    <w:p w:rsidR="0096568D" w:rsidRPr="0096568D" w:rsidRDefault="0096568D" w:rsidP="0096568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Titular del Ministerio de la Producción (Produce) destacó que ayer inició el pago del bono de S/ 700 para más de 47 500 pescadores artesanales de todo el país.</w:t>
      </w:r>
    </w:p>
    <w:p w:rsidR="0096568D" w:rsidRDefault="0096568D" w:rsidP="00965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ministra de la Producción, Ana María Choquehuanca, resaltó que el gobierno de la presidenta Dina </w:t>
      </w:r>
      <w:proofErr w:type="spellStart"/>
      <w:r>
        <w:rPr>
          <w:rFonts w:ascii="Arial" w:hAnsi="Arial" w:cs="Arial"/>
          <w:sz w:val="24"/>
          <w:szCs w:val="24"/>
        </w:rPr>
        <w:t>Boluarte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ED1AD9">
        <w:rPr>
          <w:rFonts w:ascii="Arial" w:hAnsi="Arial" w:cs="Arial"/>
          <w:sz w:val="24"/>
          <w:szCs w:val="24"/>
        </w:rPr>
        <w:t>ha cumplido su compromiso con los pescadores artesanales del país, luego que ayer se iniciara oficialmente el cobro del nuevo bono de S/ 700 para más de 47 500 hombres del mar en las agencias del Banco de la Nación.</w:t>
      </w:r>
    </w:p>
    <w:p w:rsidR="00ED1AD9" w:rsidRDefault="00ED1AD9" w:rsidP="00965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“Después de un año atípico y difícil, los pescadores artesanales ya pueden acercarse al Banco de la Nación a cobrar su bono de S/ 700. No ha sido fácil lograrlo, pero los compromisos desde el gobierno se cumplen”, indicó la titular de la Producción.</w:t>
      </w:r>
    </w:p>
    <w:p w:rsidR="00ED1AD9" w:rsidRDefault="00ED1AD9" w:rsidP="00965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debe indicar que los pescadores artesanales pueden ingresar a la web:  </w:t>
      </w:r>
      <w:hyperlink r:id="rId7" w:history="1">
        <w:r w:rsidRPr="00C37658">
          <w:rPr>
            <w:rStyle w:val="Hipervnculo"/>
            <w:rFonts w:ascii="Arial" w:hAnsi="Arial" w:cs="Arial"/>
            <w:sz w:val="24"/>
            <w:szCs w:val="24"/>
          </w:rPr>
          <w:t>https://bonopescadorartesanal.produce.gob.pe/</w:t>
        </w:r>
      </w:hyperlink>
      <w:r>
        <w:rPr>
          <w:rFonts w:ascii="Arial" w:hAnsi="Arial" w:cs="Arial"/>
          <w:sz w:val="24"/>
          <w:szCs w:val="24"/>
        </w:rPr>
        <w:t xml:space="preserve"> y verificar si son beneficiarios del bono. De serlo, deben ir con su DNI a una agencia del Banco de la Nación a hacer efectivo el cobro.</w:t>
      </w:r>
    </w:p>
    <w:p w:rsidR="00ED1AD9" w:rsidRDefault="00ED1AD9" w:rsidP="0096568D">
      <w:pPr>
        <w:jc w:val="both"/>
        <w:rPr>
          <w:rFonts w:ascii="Arial" w:hAnsi="Arial" w:cs="Arial"/>
          <w:b/>
          <w:sz w:val="24"/>
          <w:szCs w:val="24"/>
        </w:rPr>
      </w:pPr>
      <w:r w:rsidRPr="00ED1AD9">
        <w:rPr>
          <w:rFonts w:ascii="Arial" w:hAnsi="Arial" w:cs="Arial"/>
          <w:b/>
          <w:sz w:val="24"/>
          <w:szCs w:val="24"/>
        </w:rPr>
        <w:t>Impulso a la acuicultura</w:t>
      </w:r>
      <w:r w:rsidR="00FE64EB">
        <w:rPr>
          <w:rFonts w:ascii="Arial" w:hAnsi="Arial" w:cs="Arial"/>
          <w:b/>
          <w:sz w:val="24"/>
          <w:szCs w:val="24"/>
        </w:rPr>
        <w:t xml:space="preserve"> y parque </w:t>
      </w:r>
      <w:proofErr w:type="spellStart"/>
      <w:r w:rsidR="00FE64EB">
        <w:rPr>
          <w:rFonts w:ascii="Arial" w:hAnsi="Arial" w:cs="Arial"/>
          <w:b/>
          <w:sz w:val="24"/>
          <w:szCs w:val="24"/>
        </w:rPr>
        <w:t>industriles</w:t>
      </w:r>
      <w:proofErr w:type="spellEnd"/>
    </w:p>
    <w:p w:rsidR="00ED1AD9" w:rsidRDefault="00ED1AD9" w:rsidP="00ED1AD9">
      <w:pPr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>
        <w:rPr>
          <w:rFonts w:ascii="Arial" w:hAnsi="Arial" w:cs="Arial"/>
          <w:sz w:val="24"/>
          <w:szCs w:val="24"/>
        </w:rPr>
        <w:t xml:space="preserve">La ministra Choquehuanca también resaltó que este año </w:t>
      </w:r>
      <w:r w:rsidRPr="003D34FE">
        <w:rPr>
          <w:rFonts w:ascii="Arial" w:eastAsia="Times New Roman" w:hAnsi="Arial" w:cs="Arial"/>
          <w:sz w:val="24"/>
          <w:szCs w:val="24"/>
          <w:lang w:eastAsia="es-PE"/>
        </w:rPr>
        <w:t>se aprobó la Política Nacional de Acuicultura al 2030, a fin de mejorar la competitividad de la cadena de valor de la actividad acuícola, con la cu</w:t>
      </w:r>
      <w:r>
        <w:rPr>
          <w:rFonts w:ascii="Arial" w:eastAsia="Times New Roman" w:hAnsi="Arial" w:cs="Arial"/>
          <w:sz w:val="24"/>
          <w:szCs w:val="24"/>
          <w:lang w:eastAsia="es-PE"/>
        </w:rPr>
        <w:t>a</w:t>
      </w:r>
      <w:r w:rsidRPr="003D34FE">
        <w:rPr>
          <w:rFonts w:ascii="Arial" w:eastAsia="Times New Roman" w:hAnsi="Arial" w:cs="Arial"/>
          <w:sz w:val="24"/>
          <w:szCs w:val="24"/>
          <w:lang w:eastAsia="es-PE"/>
        </w:rPr>
        <w:t xml:space="preserve">l se espera lograr que la acuicultura peruana sea más competitiva, sostenible, </w:t>
      </w:r>
      <w:proofErr w:type="spellStart"/>
      <w:r w:rsidRPr="003D34FE">
        <w:rPr>
          <w:rFonts w:ascii="Arial" w:eastAsia="Times New Roman" w:hAnsi="Arial" w:cs="Arial"/>
          <w:sz w:val="24"/>
          <w:szCs w:val="24"/>
          <w:lang w:eastAsia="es-PE"/>
        </w:rPr>
        <w:t>resiliente</w:t>
      </w:r>
      <w:proofErr w:type="spellEnd"/>
      <w:r w:rsidRPr="003D34FE">
        <w:rPr>
          <w:rFonts w:ascii="Arial" w:eastAsia="Times New Roman" w:hAnsi="Arial" w:cs="Arial"/>
          <w:sz w:val="24"/>
          <w:szCs w:val="24"/>
          <w:lang w:eastAsia="es-PE"/>
        </w:rPr>
        <w:t xml:space="preserve"> al c</w:t>
      </w:r>
      <w:r>
        <w:rPr>
          <w:rFonts w:ascii="Arial" w:eastAsia="Times New Roman" w:hAnsi="Arial" w:cs="Arial"/>
          <w:sz w:val="24"/>
          <w:szCs w:val="24"/>
          <w:lang w:eastAsia="es-PE"/>
        </w:rPr>
        <w:t>ambio climático y diversificada.</w:t>
      </w:r>
    </w:p>
    <w:p w:rsidR="00ED1AD9" w:rsidRDefault="00ED1AD9" w:rsidP="00ED1A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“Durante mi gestión, la acuicultura es u</w:t>
      </w:r>
      <w:r w:rsidRPr="0096568D">
        <w:rPr>
          <w:rFonts w:ascii="Arial" w:hAnsi="Arial" w:cs="Arial"/>
          <w:sz w:val="24"/>
          <w:szCs w:val="24"/>
        </w:rPr>
        <w:t xml:space="preserve">na prioridad, </w:t>
      </w:r>
      <w:r>
        <w:rPr>
          <w:rFonts w:ascii="Arial" w:hAnsi="Arial" w:cs="Arial"/>
          <w:sz w:val="24"/>
          <w:szCs w:val="24"/>
        </w:rPr>
        <w:t xml:space="preserve">dado que tiene mucho que ver con zonas como la selva y lugares alejados, así que estamos trabajando n su ordenamiento e impulso”, añadió. </w:t>
      </w:r>
    </w:p>
    <w:p w:rsidR="00ED1AD9" w:rsidRDefault="00ED1AD9" w:rsidP="00965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igual manera, destacó que su gestión ha sostenido más de 300 reuniones con gremios empresariales y organizaciones sociales, priorizando a las de MYPE y pescadores artesanales; así como 20 reuniones de trabajo con gobernadores regionales y 83 reuniones con alcaldes.</w:t>
      </w:r>
    </w:p>
    <w:p w:rsidR="00ED1AD9" w:rsidRDefault="00ED1AD9" w:rsidP="00965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“En MYPE logramos conformar ocho mesas de trabajo, donde sacamos valiosas lecciones y propuestas de mejora; en el caso de pesca y acuicultura</w:t>
      </w:r>
      <w:r w:rsidR="00D50B13">
        <w:rPr>
          <w:rFonts w:ascii="Arial" w:hAnsi="Arial" w:cs="Arial"/>
          <w:sz w:val="24"/>
          <w:szCs w:val="24"/>
        </w:rPr>
        <w:t xml:space="preserve"> vamos a iniciar las mesas en el 2024, porque hay muchas aristas por trabajar y esperamos que las soluciones se concreten en ese nuevo periodo”, finalizó.</w:t>
      </w:r>
    </w:p>
    <w:p w:rsidR="00FE64EB" w:rsidRDefault="00FE64EB" w:rsidP="00965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último, sostuvo que Produce es el ente rector en los parques industriales, y desde el gobierno se busca su desarrollo </w:t>
      </w:r>
      <w:r w:rsidR="00E95E5E">
        <w:rPr>
          <w:rFonts w:ascii="Arial" w:hAnsi="Arial" w:cs="Arial"/>
          <w:sz w:val="24"/>
          <w:szCs w:val="24"/>
        </w:rPr>
        <w:t>porque generan cadenas de valor en las MYPE.</w:t>
      </w:r>
    </w:p>
    <w:p w:rsidR="00E95E5E" w:rsidRDefault="00E95E5E" w:rsidP="00965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 ese sentido, precisó que el ministerio ha firmado un convenio con la ONUDI para la segunda f</w:t>
      </w:r>
      <w:r w:rsidRPr="00E95E5E">
        <w:rPr>
          <w:rFonts w:ascii="Arial" w:hAnsi="Arial" w:cs="Arial"/>
          <w:sz w:val="24"/>
          <w:szCs w:val="24"/>
        </w:rPr>
        <w:t xml:space="preserve">ase del Programa de Parques </w:t>
      </w:r>
      <w:proofErr w:type="spellStart"/>
      <w:r w:rsidRPr="00E95E5E">
        <w:rPr>
          <w:rFonts w:ascii="Arial" w:hAnsi="Arial" w:cs="Arial"/>
          <w:sz w:val="24"/>
          <w:szCs w:val="24"/>
        </w:rPr>
        <w:t>Ecoindustriales</w:t>
      </w:r>
      <w:proofErr w:type="spellEnd"/>
      <w:r>
        <w:rPr>
          <w:rFonts w:ascii="Arial" w:hAnsi="Arial" w:cs="Arial"/>
          <w:sz w:val="24"/>
          <w:szCs w:val="24"/>
        </w:rPr>
        <w:t xml:space="preserve">, que priorizará </w:t>
      </w:r>
      <w:r w:rsidRPr="00E95E5E">
        <w:rPr>
          <w:rFonts w:ascii="Arial" w:hAnsi="Arial" w:cs="Arial"/>
          <w:sz w:val="24"/>
          <w:szCs w:val="24"/>
        </w:rPr>
        <w:t>la promoción de la economía circular, la mitigación del impacto climático en la industria y ayudar a los parques industriales a adaptarse a las consecuencias negativas del cambio climático a través de la ampliación de la productividad de los recursos, minimizar los residuos, promover el reciclaje y mejorar el comportamiento de los negocios en el ámbito económico, social y ambiental</w:t>
      </w:r>
      <w:r>
        <w:rPr>
          <w:rFonts w:ascii="Arial" w:hAnsi="Arial" w:cs="Arial"/>
          <w:sz w:val="24"/>
          <w:szCs w:val="24"/>
        </w:rPr>
        <w:t>.</w:t>
      </w:r>
    </w:p>
    <w:p w:rsidR="00E95E5E" w:rsidRDefault="00E95E5E" w:rsidP="0096568D">
      <w:pPr>
        <w:jc w:val="both"/>
        <w:rPr>
          <w:rFonts w:ascii="Arial" w:hAnsi="Arial" w:cs="Arial"/>
          <w:sz w:val="24"/>
          <w:szCs w:val="24"/>
        </w:rPr>
      </w:pPr>
    </w:p>
    <w:p w:rsidR="0096568D" w:rsidRPr="0096568D" w:rsidRDefault="00D50B13" w:rsidP="00D50B13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50B13">
        <w:rPr>
          <w:rFonts w:ascii="Arial" w:hAnsi="Arial" w:cs="Arial"/>
          <w:b/>
          <w:sz w:val="24"/>
          <w:szCs w:val="24"/>
        </w:rPr>
        <w:t>Lima, 22 de diciembre de 2023</w:t>
      </w:r>
    </w:p>
    <w:sectPr w:rsidR="0096568D" w:rsidRPr="0096568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E53" w:rsidRDefault="00997E53" w:rsidP="0096568D">
      <w:pPr>
        <w:spacing w:after="0" w:line="240" w:lineRule="auto"/>
      </w:pPr>
      <w:r>
        <w:separator/>
      </w:r>
    </w:p>
  </w:endnote>
  <w:endnote w:type="continuationSeparator" w:id="0">
    <w:p w:rsidR="00997E53" w:rsidRDefault="00997E53" w:rsidP="0096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E53" w:rsidRDefault="00997E53" w:rsidP="0096568D">
      <w:pPr>
        <w:spacing w:after="0" w:line="240" w:lineRule="auto"/>
      </w:pPr>
      <w:r>
        <w:separator/>
      </w:r>
    </w:p>
  </w:footnote>
  <w:footnote w:type="continuationSeparator" w:id="0">
    <w:p w:rsidR="00997E53" w:rsidRDefault="00997E53" w:rsidP="0096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68D" w:rsidRDefault="0096568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787AF37C" wp14:editId="1FDBC360">
          <wp:simplePos x="0" y="0"/>
          <wp:positionH relativeFrom="column">
            <wp:posOffset>-511791</wp:posOffset>
          </wp:positionH>
          <wp:positionV relativeFrom="paragraph">
            <wp:posOffset>26879</wp:posOffset>
          </wp:positionV>
          <wp:extent cx="1999615" cy="409575"/>
          <wp:effectExtent l="0" t="0" r="63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áfico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22BB"/>
    <w:multiLevelType w:val="hybridMultilevel"/>
    <w:tmpl w:val="4CB058A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C8"/>
    <w:rsid w:val="001C7D2B"/>
    <w:rsid w:val="002114C8"/>
    <w:rsid w:val="0096568D"/>
    <w:rsid w:val="00997E53"/>
    <w:rsid w:val="00CB0BB6"/>
    <w:rsid w:val="00D50B13"/>
    <w:rsid w:val="00DC4040"/>
    <w:rsid w:val="00E95E5E"/>
    <w:rsid w:val="00ED1AD9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BE31D5"/>
  <w15:chartTrackingRefBased/>
  <w15:docId w15:val="{1B22ED1D-2C0A-49FA-B793-A2F33815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5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68D"/>
  </w:style>
  <w:style w:type="paragraph" w:styleId="Piedepgina">
    <w:name w:val="footer"/>
    <w:basedOn w:val="Normal"/>
    <w:link w:val="PiedepginaCar"/>
    <w:uiPriority w:val="99"/>
    <w:unhideWhenUsed/>
    <w:rsid w:val="00965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68D"/>
  </w:style>
  <w:style w:type="paragraph" w:styleId="Prrafodelista">
    <w:name w:val="List Paragraph"/>
    <w:basedOn w:val="Normal"/>
    <w:uiPriority w:val="34"/>
    <w:qFormat/>
    <w:rsid w:val="0096568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D1A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onopescadorartesanal.produce.gob.p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Taipe Ballena</dc:creator>
  <cp:keywords/>
  <dc:description/>
  <cp:lastModifiedBy>Abraham Taipe Ballena</cp:lastModifiedBy>
  <cp:revision>3</cp:revision>
  <dcterms:created xsi:type="dcterms:W3CDTF">2023-12-22T15:18:00Z</dcterms:created>
  <dcterms:modified xsi:type="dcterms:W3CDTF">2023-12-22T16:32:00Z</dcterms:modified>
</cp:coreProperties>
</file>