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3266" w14:textId="77777777" w:rsidR="00276154" w:rsidRDefault="004D0F90">
      <w:pPr>
        <w:ind w:hanging="2"/>
        <w:jc w:val="center"/>
        <w:rPr>
          <w:rFonts w:ascii="Arial" w:eastAsia="Arial" w:hAnsi="Arial" w:cs="Arial"/>
          <w:color w:val="212121"/>
          <w:sz w:val="10"/>
          <w:szCs w:val="10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Nota de Prensa</w:t>
      </w:r>
    </w:p>
    <w:p w14:paraId="41945BF4" w14:textId="77777777" w:rsidR="00276154" w:rsidRDefault="004D0F90">
      <w:pPr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Sanipes </w:t>
      </w:r>
      <w:r w:rsidR="009272CA">
        <w:rPr>
          <w:rFonts w:ascii="Arial" w:eastAsia="Arial" w:hAnsi="Arial" w:cs="Arial"/>
          <w:b/>
          <w:color w:val="000000"/>
          <w:sz w:val="32"/>
          <w:szCs w:val="32"/>
        </w:rPr>
        <w:t xml:space="preserve">facilita la importación de </w:t>
      </w:r>
      <w:r w:rsidR="00004DDE">
        <w:rPr>
          <w:rFonts w:ascii="Arial" w:eastAsia="Arial" w:hAnsi="Arial" w:cs="Arial"/>
          <w:b/>
          <w:color w:val="000000"/>
          <w:sz w:val="32"/>
          <w:szCs w:val="32"/>
        </w:rPr>
        <w:t>recursos</w:t>
      </w:r>
      <w:r w:rsidR="009272CA">
        <w:rPr>
          <w:rFonts w:ascii="Arial" w:eastAsia="Arial" w:hAnsi="Arial" w:cs="Arial"/>
          <w:b/>
          <w:color w:val="000000"/>
          <w:sz w:val="32"/>
          <w:szCs w:val="32"/>
        </w:rPr>
        <w:t xml:space="preserve"> hidrobiológicos con eliminación de </w:t>
      </w:r>
      <w:r w:rsidR="00AF5FFA">
        <w:rPr>
          <w:rFonts w:ascii="Arial" w:eastAsia="Arial" w:hAnsi="Arial" w:cs="Arial"/>
          <w:b/>
          <w:color w:val="000000"/>
          <w:sz w:val="32"/>
          <w:szCs w:val="32"/>
        </w:rPr>
        <w:t xml:space="preserve">un </w:t>
      </w:r>
      <w:r w:rsidR="009272CA">
        <w:rPr>
          <w:rFonts w:ascii="Arial" w:eastAsia="Arial" w:hAnsi="Arial" w:cs="Arial"/>
          <w:b/>
          <w:color w:val="000000"/>
          <w:sz w:val="32"/>
          <w:szCs w:val="32"/>
        </w:rPr>
        <w:t>requisito</w:t>
      </w:r>
      <w:r w:rsidR="00AF5FFA">
        <w:rPr>
          <w:rFonts w:ascii="Arial" w:eastAsia="Arial" w:hAnsi="Arial" w:cs="Arial"/>
          <w:b/>
          <w:color w:val="000000"/>
          <w:sz w:val="32"/>
          <w:szCs w:val="32"/>
        </w:rPr>
        <w:t xml:space="preserve"> en su procedimiento administrativo</w:t>
      </w:r>
    </w:p>
    <w:p w14:paraId="739884DE" w14:textId="77777777" w:rsidR="00276154" w:rsidRDefault="00AF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i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i/>
          <w:color w:val="000000"/>
        </w:rPr>
        <w:t>Los importadores obtendrán el certificado sanitario de importación en menor tiempo y reducirán costos</w:t>
      </w:r>
    </w:p>
    <w:p w14:paraId="3D2E21B3" w14:textId="77777777" w:rsidR="00276154" w:rsidRDefault="004D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1660444" w14:textId="69501314" w:rsidR="002544B4" w:rsidRDefault="004D0F90" w:rsidP="0025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/>
          <w:sz w:val="24"/>
          <w:szCs w:val="24"/>
        </w:rPr>
      </w:pPr>
      <w:r w:rsidRPr="00AF5FFA">
        <w:rPr>
          <w:rFonts w:ascii="Arial" w:eastAsia="Arial" w:hAnsi="Arial" w:cs="Arial"/>
          <w:color w:val="000000"/>
          <w:sz w:val="24"/>
          <w:szCs w:val="24"/>
        </w:rPr>
        <w:t>El Organismo Nacional de Sanidad Pesquera (Sanipes), entidad adscrita al Ministerio de la Producción,</w:t>
      </w:r>
      <w:r w:rsidR="002544B4" w:rsidRPr="002544B4">
        <w:rPr>
          <w:rFonts w:ascii="Arial" w:hAnsi="Arial" w:cs="Arial"/>
          <w:sz w:val="24"/>
          <w:szCs w:val="24"/>
        </w:rPr>
        <w:t xml:space="preserve"> </w:t>
      </w:r>
      <w:r w:rsidR="002544B4">
        <w:rPr>
          <w:rFonts w:ascii="Arial" w:hAnsi="Arial" w:cs="Arial"/>
          <w:sz w:val="24"/>
          <w:szCs w:val="24"/>
        </w:rPr>
        <w:t>mediante l</w:t>
      </w:r>
      <w:r w:rsidR="002544B4" w:rsidRPr="00AF5FFA">
        <w:rPr>
          <w:rFonts w:ascii="Arial" w:hAnsi="Arial" w:cs="Arial"/>
          <w:sz w:val="24"/>
          <w:szCs w:val="24"/>
        </w:rPr>
        <w:t>a Resolución de Presidencia Ejecutiva N°007-2024-SANIPES/PE res</w:t>
      </w:r>
      <w:r w:rsidR="002544B4">
        <w:rPr>
          <w:rFonts w:ascii="Arial" w:hAnsi="Arial" w:cs="Arial"/>
          <w:sz w:val="24"/>
          <w:szCs w:val="24"/>
        </w:rPr>
        <w:t>olvió</w:t>
      </w:r>
      <w:r w:rsidR="002544B4" w:rsidRPr="00AF5FFA">
        <w:rPr>
          <w:rFonts w:ascii="Arial" w:hAnsi="Arial" w:cs="Arial"/>
          <w:sz w:val="24"/>
          <w:szCs w:val="24"/>
        </w:rPr>
        <w:t xml:space="preserve"> en su artículo 1º, eliminar el requisito 7 del TUPA N°36 de SANIPES denominado: “</w:t>
      </w:r>
      <w:r w:rsidR="002544B4" w:rsidRPr="00AF5FFA">
        <w:rPr>
          <w:rFonts w:ascii="Arial" w:hAnsi="Arial"/>
          <w:sz w:val="24"/>
          <w:szCs w:val="24"/>
        </w:rPr>
        <w:t>Copia del certificado de importación de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especies en sus diferentes estad</w:t>
      </w:r>
      <w:r w:rsidR="000A2B99">
        <w:rPr>
          <w:rFonts w:ascii="Arial" w:hAnsi="Arial"/>
          <w:sz w:val="24"/>
          <w:szCs w:val="24"/>
        </w:rPr>
        <w:t>i</w:t>
      </w:r>
      <w:r w:rsidR="002544B4" w:rsidRPr="00AF5FFA">
        <w:rPr>
          <w:rFonts w:ascii="Arial" w:hAnsi="Arial"/>
          <w:sz w:val="24"/>
          <w:szCs w:val="24"/>
        </w:rPr>
        <w:t>os con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fines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de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acuicultura,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expedido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por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la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Dirección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Regional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de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Producción</w:t>
      </w:r>
      <w:r w:rsidR="002544B4" w:rsidRPr="00AF5FFA">
        <w:rPr>
          <w:rFonts w:ascii="Arial" w:hAnsi="Arial"/>
          <w:spacing w:val="1"/>
          <w:sz w:val="24"/>
          <w:szCs w:val="24"/>
        </w:rPr>
        <w:t xml:space="preserve"> </w:t>
      </w:r>
      <w:r w:rsidR="002544B4" w:rsidRPr="00AF5FFA">
        <w:rPr>
          <w:rFonts w:ascii="Arial" w:hAnsi="Arial"/>
          <w:sz w:val="24"/>
          <w:szCs w:val="24"/>
        </w:rPr>
        <w:t>(DIREPRO)”.</w:t>
      </w:r>
    </w:p>
    <w:p w14:paraId="6F909EDB" w14:textId="77777777" w:rsidR="000F198F" w:rsidRPr="00836BAB" w:rsidRDefault="000F198F" w:rsidP="0025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sz w:val="10"/>
          <w:szCs w:val="10"/>
        </w:rPr>
      </w:pPr>
    </w:p>
    <w:p w14:paraId="55208B8C" w14:textId="7F72AAF1" w:rsidR="000A2B99" w:rsidRDefault="000F198F" w:rsidP="0025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eliminación de este requisito se da luego de un</w:t>
      </w:r>
      <w:r w:rsidRPr="000F198F">
        <w:rPr>
          <w:rFonts w:ascii="Arial" w:hAnsi="Arial" w:cs="Arial"/>
          <w:sz w:val="24"/>
          <w:szCs w:val="24"/>
        </w:rPr>
        <w:t xml:space="preserve"> Análisis de Calidad Regulatoria (ACR), toda vez que se busca reducir las cargas administrativas (requisitos y costos) que se genera a los administrados como consecuencia del trámite del procedimiento administrativo</w:t>
      </w:r>
      <w:r>
        <w:rPr>
          <w:rFonts w:ascii="Arial" w:hAnsi="Arial" w:cs="Arial"/>
          <w:sz w:val="24"/>
          <w:szCs w:val="24"/>
        </w:rPr>
        <w:t xml:space="preserve">, teniendo en cuenta </w:t>
      </w:r>
      <w:r>
        <w:rPr>
          <w:rFonts w:ascii="Arial" w:hAnsi="Arial"/>
          <w:sz w:val="24"/>
          <w:szCs w:val="24"/>
        </w:rPr>
        <w:t>que l</w:t>
      </w:r>
      <w:r w:rsidR="000A2B99">
        <w:rPr>
          <w:rFonts w:ascii="Arial" w:hAnsi="Arial"/>
          <w:sz w:val="24"/>
          <w:szCs w:val="24"/>
        </w:rPr>
        <w:t>a información contenida en el requisito</w:t>
      </w:r>
      <w:r>
        <w:rPr>
          <w:rFonts w:ascii="Arial" w:hAnsi="Arial"/>
          <w:sz w:val="24"/>
          <w:szCs w:val="24"/>
        </w:rPr>
        <w:t xml:space="preserve"> 7</w:t>
      </w:r>
      <w:r w:rsidR="000A2B99">
        <w:rPr>
          <w:rFonts w:ascii="Arial" w:hAnsi="Arial"/>
          <w:sz w:val="24"/>
          <w:szCs w:val="24"/>
        </w:rPr>
        <w:t>, también se puede verificar en otros dos requisitos establecidos en el TUPA de Sanipes, tales como el certificado sanitario emitido por la autoridad sanitaria del país de origen y el certificado de origen</w:t>
      </w:r>
      <w:r>
        <w:rPr>
          <w:rFonts w:ascii="Arial" w:hAnsi="Arial"/>
          <w:sz w:val="24"/>
          <w:szCs w:val="24"/>
        </w:rPr>
        <w:t xml:space="preserve">.  </w:t>
      </w:r>
    </w:p>
    <w:p w14:paraId="758A4B9E" w14:textId="77777777" w:rsidR="00AF5FFA" w:rsidRPr="00AF5FFA" w:rsidRDefault="00AF5FFA" w:rsidP="00934979">
      <w:pPr>
        <w:pStyle w:val="Sinespaciado"/>
        <w:ind w:firstLine="0"/>
        <w:jc w:val="both"/>
        <w:rPr>
          <w:rFonts w:ascii="Arial" w:hAnsi="Arial" w:cs="Arial"/>
          <w:sz w:val="10"/>
          <w:szCs w:val="10"/>
        </w:rPr>
      </w:pPr>
    </w:p>
    <w:p w14:paraId="06BE63B0" w14:textId="560D4077" w:rsidR="00AF5FFA" w:rsidRDefault="00456AF9" w:rsidP="00AF5FF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5FFA">
        <w:rPr>
          <w:rFonts w:ascii="Arial" w:hAnsi="Arial" w:cs="Arial"/>
          <w:sz w:val="24"/>
          <w:szCs w:val="24"/>
        </w:rPr>
        <w:t>La presidenta ejecutiva de Sanipes, Mónica Saavedra, manifestó que</w:t>
      </w:r>
      <w:r w:rsidRPr="00DD1713">
        <w:rPr>
          <w:rFonts w:ascii="Arial" w:hAnsi="Arial" w:cs="Arial"/>
          <w:sz w:val="24"/>
          <w:szCs w:val="24"/>
        </w:rPr>
        <w:t xml:space="preserve"> </w:t>
      </w:r>
      <w:r w:rsidR="001C6AF2" w:rsidRPr="00DD1713">
        <w:rPr>
          <w:rFonts w:ascii="Arial" w:hAnsi="Arial" w:cs="Arial"/>
          <w:iCs/>
          <w:sz w:val="24"/>
          <w:szCs w:val="24"/>
        </w:rPr>
        <w:t>la</w:t>
      </w:r>
      <w:r w:rsidRPr="00DD1713">
        <w:rPr>
          <w:rFonts w:ascii="Arial" w:hAnsi="Arial" w:cs="Arial"/>
          <w:iCs/>
          <w:sz w:val="24"/>
          <w:szCs w:val="24"/>
        </w:rPr>
        <w:t xml:space="preserve"> eliminación </w:t>
      </w:r>
      <w:r w:rsidR="001C6AF2" w:rsidRPr="00DD1713">
        <w:rPr>
          <w:rFonts w:ascii="Arial" w:hAnsi="Arial" w:cs="Arial"/>
          <w:iCs/>
          <w:sz w:val="24"/>
          <w:szCs w:val="24"/>
        </w:rPr>
        <w:t xml:space="preserve">de este requisito </w:t>
      </w:r>
      <w:r w:rsidRPr="00DD1713">
        <w:rPr>
          <w:rFonts w:ascii="Arial" w:hAnsi="Arial" w:cs="Arial"/>
          <w:iCs/>
          <w:sz w:val="24"/>
          <w:szCs w:val="24"/>
        </w:rPr>
        <w:t>acelera</w:t>
      </w:r>
      <w:r w:rsidR="001C6AF2" w:rsidRPr="00DD1713">
        <w:rPr>
          <w:rFonts w:ascii="Arial" w:hAnsi="Arial" w:cs="Arial"/>
          <w:iCs/>
          <w:sz w:val="24"/>
          <w:szCs w:val="24"/>
        </w:rPr>
        <w:t>rá</w:t>
      </w:r>
      <w:r w:rsidRPr="00DD1713">
        <w:rPr>
          <w:rFonts w:ascii="Arial" w:hAnsi="Arial" w:cs="Arial"/>
          <w:iCs/>
          <w:sz w:val="24"/>
          <w:szCs w:val="24"/>
        </w:rPr>
        <w:t xml:space="preserve"> el trámite </w:t>
      </w:r>
      <w:r w:rsidR="001C6AF2" w:rsidRPr="00DD1713">
        <w:rPr>
          <w:rFonts w:ascii="Arial" w:hAnsi="Arial" w:cs="Arial"/>
          <w:iCs/>
          <w:sz w:val="24"/>
          <w:szCs w:val="24"/>
        </w:rPr>
        <w:t xml:space="preserve">para obtener </w:t>
      </w:r>
      <w:r w:rsidRPr="00DD1713">
        <w:rPr>
          <w:rFonts w:ascii="Arial" w:hAnsi="Arial" w:cs="Arial"/>
          <w:iCs/>
          <w:sz w:val="24"/>
          <w:szCs w:val="24"/>
        </w:rPr>
        <w:t>el certificado sanitario de importación de</w:t>
      </w:r>
      <w:r w:rsidR="00C77229" w:rsidRPr="00DD1713">
        <w:rPr>
          <w:rFonts w:ascii="Arial" w:hAnsi="Arial" w:cs="Arial"/>
          <w:iCs/>
          <w:sz w:val="24"/>
          <w:szCs w:val="24"/>
        </w:rPr>
        <w:t xml:space="preserve"> Sanipes</w:t>
      </w:r>
      <w:r w:rsidR="001C6AF2" w:rsidRPr="00DD1713">
        <w:rPr>
          <w:rFonts w:ascii="Arial" w:hAnsi="Arial" w:cs="Arial"/>
          <w:iCs/>
          <w:sz w:val="24"/>
          <w:szCs w:val="24"/>
        </w:rPr>
        <w:t xml:space="preserve">. </w:t>
      </w:r>
      <w:r w:rsidR="00DD1713">
        <w:rPr>
          <w:rFonts w:ascii="Arial" w:hAnsi="Arial" w:cs="Arial"/>
          <w:i/>
          <w:iCs/>
          <w:sz w:val="24"/>
          <w:szCs w:val="24"/>
        </w:rPr>
        <w:t>“</w:t>
      </w:r>
      <w:r w:rsidR="001C6AF2" w:rsidRPr="001C6AF2">
        <w:rPr>
          <w:rFonts w:ascii="Arial" w:hAnsi="Arial" w:cs="Arial"/>
          <w:i/>
          <w:iCs/>
          <w:sz w:val="24"/>
          <w:szCs w:val="24"/>
        </w:rPr>
        <w:t>Ahora se podrá</w:t>
      </w:r>
      <w:r w:rsidR="00C77229" w:rsidRPr="001C6AF2">
        <w:rPr>
          <w:rFonts w:ascii="Arial" w:hAnsi="Arial" w:cs="Arial"/>
          <w:i/>
          <w:iCs/>
          <w:sz w:val="24"/>
          <w:szCs w:val="24"/>
        </w:rPr>
        <w:t xml:space="preserve"> realizar los trámites aduaneros ante la SUNA</w:t>
      </w:r>
      <w:r w:rsidR="00DD1713">
        <w:rPr>
          <w:rFonts w:ascii="Arial" w:hAnsi="Arial" w:cs="Arial"/>
          <w:i/>
          <w:iCs/>
          <w:sz w:val="24"/>
          <w:szCs w:val="24"/>
        </w:rPr>
        <w:t xml:space="preserve">T </w:t>
      </w:r>
      <w:bookmarkStart w:id="2" w:name="_GoBack"/>
      <w:bookmarkEnd w:id="2"/>
      <w:r w:rsidR="00DD1713" w:rsidRPr="001C6AF2">
        <w:rPr>
          <w:rFonts w:ascii="Arial" w:hAnsi="Arial" w:cs="Arial"/>
          <w:i/>
          <w:iCs/>
          <w:sz w:val="24"/>
          <w:szCs w:val="24"/>
        </w:rPr>
        <w:t>en</w:t>
      </w:r>
      <w:r w:rsidR="00DD1713" w:rsidRPr="001C6AF2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DD1713" w:rsidRPr="001C6AF2">
        <w:rPr>
          <w:rFonts w:ascii="Arial" w:hAnsi="Arial" w:cs="Arial"/>
          <w:i/>
          <w:iCs/>
          <w:sz w:val="24"/>
          <w:szCs w:val="24"/>
        </w:rPr>
        <w:t>meno</w:t>
      </w:r>
      <w:r w:rsidR="00DD1713">
        <w:rPr>
          <w:rFonts w:ascii="Arial" w:hAnsi="Arial" w:cs="Arial"/>
          <w:i/>
          <w:iCs/>
          <w:sz w:val="24"/>
          <w:szCs w:val="24"/>
        </w:rPr>
        <w:t>s</w:t>
      </w:r>
      <w:r w:rsidR="00DD1713" w:rsidRPr="001C6AF2">
        <w:rPr>
          <w:rFonts w:ascii="Arial" w:hAnsi="Arial" w:cs="Arial"/>
          <w:i/>
          <w:iCs/>
          <w:sz w:val="24"/>
          <w:szCs w:val="24"/>
        </w:rPr>
        <w:t xml:space="preserve"> tiempo</w:t>
      </w:r>
      <w:r w:rsidR="00C77229" w:rsidRPr="001C6AF2">
        <w:rPr>
          <w:rFonts w:ascii="Arial" w:hAnsi="Arial" w:cs="Arial"/>
          <w:i/>
          <w:iCs/>
          <w:sz w:val="24"/>
          <w:szCs w:val="24"/>
        </w:rPr>
        <w:t>, evitando sobrecostos a los administrados y posible mortandad de los</w:t>
      </w:r>
      <w:r w:rsidR="00C77229" w:rsidRPr="001C6AF2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C77229" w:rsidRPr="001C6AF2">
        <w:rPr>
          <w:rFonts w:ascii="Arial" w:hAnsi="Arial" w:cs="Arial"/>
          <w:i/>
          <w:iCs/>
          <w:sz w:val="24"/>
          <w:szCs w:val="24"/>
        </w:rPr>
        <w:t>recursos</w:t>
      </w:r>
      <w:r w:rsidR="00DA7395">
        <w:rPr>
          <w:rFonts w:ascii="Arial" w:hAnsi="Arial" w:cs="Arial"/>
          <w:i/>
          <w:iCs/>
          <w:sz w:val="24"/>
          <w:szCs w:val="24"/>
        </w:rPr>
        <w:t xml:space="preserve"> hidrobiológicos</w:t>
      </w:r>
      <w:r w:rsidR="00C77229" w:rsidRPr="001C6AF2">
        <w:rPr>
          <w:rFonts w:ascii="Arial" w:hAnsi="Arial" w:cs="Arial"/>
          <w:i/>
          <w:iCs/>
          <w:sz w:val="24"/>
          <w:szCs w:val="24"/>
        </w:rPr>
        <w:t>”</w:t>
      </w:r>
      <w:r w:rsidR="00C77229" w:rsidRPr="00AF5FFA">
        <w:rPr>
          <w:rFonts w:ascii="Arial" w:hAnsi="Arial" w:cs="Arial"/>
          <w:sz w:val="24"/>
          <w:szCs w:val="24"/>
        </w:rPr>
        <w:t>, añadió Saavedra.</w:t>
      </w:r>
    </w:p>
    <w:p w14:paraId="51031E32" w14:textId="77777777" w:rsidR="00AF5FFA" w:rsidRPr="00AF5FFA" w:rsidRDefault="00AF5FFA" w:rsidP="00AF5FFA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3F6FF547" w14:textId="7FFE53FB" w:rsidR="00AF5FFA" w:rsidRDefault="00401579" w:rsidP="002544B4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1579">
        <w:rPr>
          <w:rFonts w:ascii="Arial" w:hAnsi="Arial" w:cs="Arial"/>
          <w:sz w:val="24"/>
          <w:szCs w:val="24"/>
        </w:rPr>
        <w:t xml:space="preserve">Esta acción de simplificación administrativa en beneficio de los administrados </w:t>
      </w:r>
      <w:r w:rsidR="002544B4">
        <w:rPr>
          <w:rFonts w:ascii="Arial" w:hAnsi="Arial" w:cs="Arial"/>
          <w:sz w:val="24"/>
          <w:szCs w:val="24"/>
        </w:rPr>
        <w:t>se hace para</w:t>
      </w:r>
      <w:r w:rsidRPr="00401579">
        <w:rPr>
          <w:rFonts w:ascii="Arial" w:hAnsi="Arial" w:cs="Arial"/>
          <w:sz w:val="24"/>
          <w:szCs w:val="24"/>
          <w:shd w:val="clear" w:color="auto" w:fill="FFFFFF"/>
        </w:rPr>
        <w:t xml:space="preserve"> asegurar la sanidad e inocuidad pesquera y acuícola, mediante </w:t>
      </w:r>
      <w:r w:rsidR="002544B4">
        <w:rPr>
          <w:rFonts w:ascii="Arial" w:hAnsi="Arial" w:cs="Arial"/>
          <w:sz w:val="24"/>
          <w:szCs w:val="24"/>
          <w:shd w:val="clear" w:color="auto" w:fill="FFFFFF"/>
        </w:rPr>
        <w:t>una</w:t>
      </w:r>
      <w:r w:rsidRPr="00401579">
        <w:rPr>
          <w:rFonts w:ascii="Arial" w:hAnsi="Arial" w:cs="Arial"/>
          <w:sz w:val="24"/>
          <w:szCs w:val="24"/>
          <w:shd w:val="clear" w:color="auto" w:fill="FFFFFF"/>
        </w:rPr>
        <w:t xml:space="preserve"> certificación sanitaria eficaz y oportuna, con el propósito de proteger la vida y la salud pública</w:t>
      </w:r>
      <w:r w:rsidR="002544B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31160B" w14:textId="37C32949" w:rsidR="002544B4" w:rsidRDefault="002544B4" w:rsidP="002544B4">
      <w:pPr>
        <w:pStyle w:val="Sinespaciado"/>
        <w:jc w:val="both"/>
        <w:rPr>
          <w:rFonts w:ascii="Arial" w:eastAsia="Arial" w:hAnsi="Arial" w:cs="Arial"/>
        </w:rPr>
      </w:pPr>
    </w:p>
    <w:p w14:paraId="5513AB9C" w14:textId="77777777" w:rsidR="00836BAB" w:rsidRDefault="00836BAB" w:rsidP="002544B4">
      <w:pPr>
        <w:pStyle w:val="Sinespaciado"/>
        <w:jc w:val="both"/>
        <w:rPr>
          <w:rFonts w:ascii="Arial" w:eastAsia="Arial" w:hAnsi="Arial" w:cs="Arial"/>
        </w:rPr>
      </w:pPr>
    </w:p>
    <w:p w14:paraId="45216E86" w14:textId="77777777" w:rsidR="009272CA" w:rsidRPr="00AF5FFA" w:rsidRDefault="004D0F90" w:rsidP="00AF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5FFA">
        <w:rPr>
          <w:rFonts w:ascii="Arial" w:eastAsia="Arial" w:hAnsi="Arial" w:cs="Arial"/>
          <w:color w:val="000000"/>
          <w:sz w:val="24"/>
          <w:szCs w:val="24"/>
        </w:rPr>
        <w:t>Agradeceremos su difusión.</w:t>
      </w:r>
    </w:p>
    <w:p w14:paraId="2E99DA54" w14:textId="77777777" w:rsidR="009272CA" w:rsidRDefault="00927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5F59A593" w14:textId="77777777" w:rsidR="009272CA" w:rsidRDefault="00927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D31E92C" w14:textId="77777777" w:rsidR="009272CA" w:rsidRDefault="00927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ECAFE9F" w14:textId="77777777" w:rsidR="009272CA" w:rsidRDefault="00927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sectPr w:rsidR="00927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F552" w14:textId="77777777" w:rsidR="00FD1351" w:rsidRDefault="00FD1351">
      <w:pPr>
        <w:spacing w:after="0" w:line="240" w:lineRule="auto"/>
      </w:pPr>
      <w:r>
        <w:separator/>
      </w:r>
    </w:p>
  </w:endnote>
  <w:endnote w:type="continuationSeparator" w:id="0">
    <w:p w14:paraId="65694342" w14:textId="77777777" w:rsidR="00FD1351" w:rsidRDefault="00F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502040504020204"/>
    <w:charset w:val="00"/>
    <w:family w:val="swiss"/>
    <w:pitch w:val="variable"/>
    <w:sig w:usb0="E00082FF" w:usb1="4200F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7497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A0EA" w14:textId="77777777" w:rsidR="00276154" w:rsidRDefault="00276154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  <w:p w14:paraId="489826DF" w14:textId="77777777" w:rsidR="00276154" w:rsidRDefault="004D0F90">
    <w:pPr>
      <w:ind w:left="-284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60530F7" wp14:editId="0034415C">
          <wp:simplePos x="0" y="0"/>
          <wp:positionH relativeFrom="column">
            <wp:posOffset>3736572</wp:posOffset>
          </wp:positionH>
          <wp:positionV relativeFrom="paragraph">
            <wp:posOffset>86360</wp:posOffset>
          </wp:positionV>
          <wp:extent cx="903249" cy="524107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249" cy="524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FBC20CA" wp14:editId="1F42D255">
          <wp:simplePos x="0" y="0"/>
          <wp:positionH relativeFrom="column">
            <wp:posOffset>4952407</wp:posOffset>
          </wp:positionH>
          <wp:positionV relativeFrom="paragraph">
            <wp:posOffset>23619</wp:posOffset>
          </wp:positionV>
          <wp:extent cx="1094930" cy="586864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930" cy="586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80837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5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Ca. Amador Merino Reyna 267 Piso 12 San Isidro - Lima</w:t>
    </w:r>
  </w:p>
  <w:p w14:paraId="04FFD93C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5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Carretera a Ventanilla km 5.2 - Callao</w:t>
    </w:r>
    <w:r>
      <w:rPr>
        <w:rFonts w:ascii="Arial" w:eastAsia="Arial" w:hAnsi="Arial" w:cs="Arial"/>
        <w:color w:val="000000"/>
        <w:sz w:val="14"/>
        <w:szCs w:val="14"/>
      </w:rPr>
      <w:br/>
      <w:t>www.gob.pe/sanipes</w:t>
    </w:r>
  </w:p>
  <w:p w14:paraId="663D8F90" w14:textId="77777777" w:rsidR="00276154" w:rsidRDefault="00276154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699B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F117" w14:textId="77777777" w:rsidR="00FD1351" w:rsidRDefault="00FD1351">
      <w:pPr>
        <w:spacing w:after="0" w:line="240" w:lineRule="auto"/>
      </w:pPr>
      <w:r>
        <w:separator/>
      </w:r>
    </w:p>
  </w:footnote>
  <w:footnote w:type="continuationSeparator" w:id="0">
    <w:p w14:paraId="0497C78E" w14:textId="77777777" w:rsidR="00FD1351" w:rsidRDefault="00FD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A365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E5A5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49F781" wp14:editId="1CA8E595">
          <wp:simplePos x="0" y="0"/>
          <wp:positionH relativeFrom="column">
            <wp:posOffset>-594701</wp:posOffset>
          </wp:positionH>
          <wp:positionV relativeFrom="paragraph">
            <wp:posOffset>12488</wp:posOffset>
          </wp:positionV>
          <wp:extent cx="2104712" cy="41867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712" cy="418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67C572E" wp14:editId="3B292F37">
          <wp:simplePos x="0" y="0"/>
          <wp:positionH relativeFrom="column">
            <wp:posOffset>4406265</wp:posOffset>
          </wp:positionH>
          <wp:positionV relativeFrom="paragraph">
            <wp:posOffset>12488</wp:posOffset>
          </wp:positionV>
          <wp:extent cx="1538824" cy="486272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824" cy="486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FEC561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  <w:p w14:paraId="56E6FD4B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  <w:p w14:paraId="76900507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0"/>
        <w:szCs w:val="10"/>
      </w:rPr>
    </w:pPr>
  </w:p>
  <w:p w14:paraId="0E1DD522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26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“Decenio de la Igualdad de Oportunidades para Mujeres y Hombres”</w:t>
    </w:r>
  </w:p>
  <w:p w14:paraId="298628EF" w14:textId="77777777" w:rsidR="00276154" w:rsidRDefault="004D0F90">
    <w:pPr>
      <w:spacing w:after="0" w:line="240" w:lineRule="auto"/>
      <w:ind w:left="-427" w:firstLine="0"/>
      <w:rPr>
        <w:rFonts w:ascii="Times New Roman" w:eastAsia="Times New Roman" w:hAnsi="Times New Roman" w:cs="Times New Roman"/>
        <w:sz w:val="14"/>
        <w:szCs w:val="14"/>
      </w:rPr>
    </w:pPr>
    <w:r>
      <w:rPr>
        <w:rFonts w:ascii="Arial" w:eastAsia="Arial" w:hAnsi="Arial" w:cs="Arial"/>
        <w:color w:val="202124"/>
        <w:sz w:val="14"/>
        <w:szCs w:val="14"/>
        <w:highlight w:val="white"/>
      </w:rPr>
      <w:t>“</w:t>
    </w:r>
    <w:r>
      <w:rPr>
        <w:rFonts w:ascii="Arial" w:eastAsia="Arial" w:hAnsi="Arial" w:cs="Arial"/>
        <w:color w:val="040C28"/>
        <w:sz w:val="14"/>
        <w:szCs w:val="14"/>
      </w:rPr>
      <w:t>Año del Bicentenario, de la consolidación de nuestra Independencia, y de la conmemoración de las heroicas batallas de Junín y Ayacucho</w:t>
    </w:r>
    <w:r>
      <w:rPr>
        <w:rFonts w:ascii="Arial" w:eastAsia="Arial" w:hAnsi="Arial" w:cs="Arial"/>
        <w:color w:val="202124"/>
        <w:sz w:val="14"/>
        <w:szCs w:val="14"/>
        <w:highlight w:val="white"/>
      </w:rPr>
      <w:t>”</w:t>
    </w:r>
  </w:p>
  <w:p w14:paraId="1ADD196A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 w:firstLine="1"/>
      <w:rPr>
        <w:rFonts w:ascii="Arial" w:eastAsia="Arial" w:hAnsi="Arial" w:cs="Arial"/>
        <w:color w:val="000000"/>
        <w:sz w:val="14"/>
        <w:szCs w:val="14"/>
      </w:rPr>
    </w:pPr>
  </w:p>
  <w:p w14:paraId="2F24C104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F246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DD3"/>
    <w:multiLevelType w:val="hybridMultilevel"/>
    <w:tmpl w:val="20BC54B6"/>
    <w:lvl w:ilvl="0" w:tplc="35E020F6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w w:val="100"/>
        <w:lang w:val="es-ES" w:eastAsia="en-US" w:bidi="ar-SA"/>
      </w:rPr>
    </w:lvl>
    <w:lvl w:ilvl="1" w:tplc="DDC09C7C">
      <w:numFmt w:val="bullet"/>
      <w:lvlText w:val="•"/>
      <w:lvlJc w:val="left"/>
      <w:pPr>
        <w:ind w:left="1146" w:hanging="360"/>
      </w:pPr>
      <w:rPr>
        <w:rFonts w:hint="default"/>
        <w:lang w:val="es-ES" w:eastAsia="en-US" w:bidi="ar-SA"/>
      </w:rPr>
    </w:lvl>
    <w:lvl w:ilvl="2" w:tplc="BE7AD298">
      <w:numFmt w:val="bullet"/>
      <w:lvlText w:val="•"/>
      <w:lvlJc w:val="left"/>
      <w:pPr>
        <w:ind w:left="1513" w:hanging="360"/>
      </w:pPr>
      <w:rPr>
        <w:rFonts w:hint="default"/>
        <w:lang w:val="es-ES" w:eastAsia="en-US" w:bidi="ar-SA"/>
      </w:rPr>
    </w:lvl>
    <w:lvl w:ilvl="3" w:tplc="BBB2365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4" w:tplc="51A45FF2"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5" w:tplc="586CA814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6" w:tplc="8CDC5E98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59A227A0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8" w:tplc="737A9FC2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DF21FBD"/>
    <w:multiLevelType w:val="multilevel"/>
    <w:tmpl w:val="AC420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D23F84"/>
    <w:multiLevelType w:val="hybridMultilevel"/>
    <w:tmpl w:val="BE38E934"/>
    <w:lvl w:ilvl="0" w:tplc="F306C7D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5D0D612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0EDEBE50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B2BA02B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62B09806"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 w:tplc="89D06FFE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DCEE54D0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7" w:tplc="2820A742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 w:tplc="30F6D3E8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BB6440"/>
    <w:multiLevelType w:val="hybridMultilevel"/>
    <w:tmpl w:val="4EF0D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54"/>
    <w:rsid w:val="00004DDE"/>
    <w:rsid w:val="000A2B99"/>
    <w:rsid w:val="000F198F"/>
    <w:rsid w:val="001C6AF2"/>
    <w:rsid w:val="001E0CD8"/>
    <w:rsid w:val="002544B4"/>
    <w:rsid w:val="00276154"/>
    <w:rsid w:val="00315D43"/>
    <w:rsid w:val="00401579"/>
    <w:rsid w:val="00456AF9"/>
    <w:rsid w:val="00471EEA"/>
    <w:rsid w:val="004D0F90"/>
    <w:rsid w:val="005C5AE2"/>
    <w:rsid w:val="0070047B"/>
    <w:rsid w:val="007D2D02"/>
    <w:rsid w:val="00836BAB"/>
    <w:rsid w:val="009272CA"/>
    <w:rsid w:val="00934979"/>
    <w:rsid w:val="00AF5FFA"/>
    <w:rsid w:val="00B70F17"/>
    <w:rsid w:val="00C00F1C"/>
    <w:rsid w:val="00C77229"/>
    <w:rsid w:val="00DA7395"/>
    <w:rsid w:val="00DD1713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26EA"/>
  <w15:docId w15:val="{B8ED8D64-7977-4349-ABE3-A578E7C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E0CD8"/>
    <w:pPr>
      <w:widowControl w:val="0"/>
      <w:autoSpaceDE w:val="0"/>
      <w:autoSpaceDN w:val="0"/>
      <w:spacing w:after="0" w:line="240" w:lineRule="auto"/>
      <w:ind w:left="981" w:right="366" w:hanging="360"/>
      <w:jc w:val="both"/>
    </w:pPr>
    <w:rPr>
      <w:rFonts w:ascii="Arial MT" w:eastAsia="Arial MT" w:hAnsi="Arial MT" w:cs="Arial MT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456AF9"/>
    <w:pPr>
      <w:widowControl w:val="0"/>
      <w:autoSpaceDE w:val="0"/>
      <w:autoSpaceDN w:val="0"/>
      <w:spacing w:after="0" w:line="240" w:lineRule="auto"/>
      <w:ind w:left="789" w:hanging="361"/>
    </w:pPr>
    <w:rPr>
      <w:rFonts w:ascii="Arial MT" w:eastAsia="Arial MT" w:hAnsi="Arial MT" w:cs="Arial MT"/>
      <w:lang w:val="es-ES" w:eastAsia="en-US"/>
    </w:rPr>
  </w:style>
  <w:style w:type="paragraph" w:styleId="Sinespaciado">
    <w:name w:val="No Spacing"/>
    <w:uiPriority w:val="1"/>
    <w:qFormat/>
    <w:rsid w:val="00C7722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0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6hgsFrStsz+QUwc4euGZPAWHtQ==">CgMxLjAyCGguZ2pkZ3hzMgloLjMwajB6bGwyCWguMWZvYjl0ZTgAciExQ1NKbDMzWjFtVGlMbEx6Y01pRndSMnk0LWc3SlVDZ0g=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Usuario de Microsoft Office</cp:lastModifiedBy>
  <cp:revision>5</cp:revision>
  <dcterms:created xsi:type="dcterms:W3CDTF">2024-01-12T05:11:00Z</dcterms:created>
  <dcterms:modified xsi:type="dcterms:W3CDTF">2024-01-12T16:43:00Z</dcterms:modified>
</cp:coreProperties>
</file>