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528" w14:textId="0ACDEC7F" w:rsidR="00AD61D6" w:rsidRDefault="00AD61D6" w:rsidP="00270D4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AD61D6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651A6269" w14:textId="50DB39DE" w:rsidR="00957C0C" w:rsidRDefault="00AB6A7C" w:rsidP="00255E8B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B6A7C">
        <w:rPr>
          <w:rFonts w:ascii="Arial" w:hAnsi="Arial" w:cs="Arial"/>
          <w:b/>
          <w:bCs/>
          <w:sz w:val="24"/>
          <w:szCs w:val="24"/>
          <w:lang w:val="es-MX"/>
        </w:rPr>
        <w:t>FONDEPES conforma</w:t>
      </w:r>
      <w:r w:rsidR="006D0E73">
        <w:rPr>
          <w:rFonts w:ascii="Arial" w:hAnsi="Arial" w:cs="Arial"/>
          <w:b/>
          <w:bCs/>
          <w:sz w:val="24"/>
          <w:szCs w:val="24"/>
          <w:lang w:val="es-MX"/>
        </w:rPr>
        <w:t>rá</w:t>
      </w:r>
      <w:r w:rsidRPr="00AB6A7C">
        <w:rPr>
          <w:rFonts w:ascii="Arial" w:hAnsi="Arial" w:cs="Arial"/>
          <w:b/>
          <w:bCs/>
          <w:sz w:val="24"/>
          <w:szCs w:val="24"/>
          <w:lang w:val="es-MX"/>
        </w:rPr>
        <w:t xml:space="preserve"> comisión técnica para entrega de obras </w:t>
      </w:r>
      <w:r w:rsidR="00C43D34">
        <w:rPr>
          <w:rFonts w:ascii="Arial" w:hAnsi="Arial" w:cs="Arial"/>
          <w:b/>
          <w:bCs/>
          <w:sz w:val="24"/>
          <w:szCs w:val="24"/>
          <w:lang w:val="es-MX"/>
        </w:rPr>
        <w:t>en</w:t>
      </w:r>
      <w:r w:rsidR="00311F8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C43D34">
        <w:rPr>
          <w:rFonts w:ascii="Arial" w:hAnsi="Arial" w:cs="Arial"/>
          <w:b/>
          <w:bCs/>
          <w:sz w:val="24"/>
          <w:szCs w:val="24"/>
          <w:lang w:val="es-MX"/>
        </w:rPr>
        <w:t>desembarcaderos pesqueros artesanales</w:t>
      </w:r>
      <w:r w:rsidRPr="00AB6A7C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C43D34">
        <w:rPr>
          <w:rFonts w:ascii="Arial" w:hAnsi="Arial" w:cs="Arial"/>
          <w:b/>
          <w:bCs/>
          <w:sz w:val="24"/>
          <w:szCs w:val="24"/>
          <w:lang w:val="es-MX"/>
        </w:rPr>
        <w:t>en</w:t>
      </w:r>
      <w:r w:rsidRPr="00AB6A7C">
        <w:rPr>
          <w:rFonts w:ascii="Arial" w:hAnsi="Arial" w:cs="Arial"/>
          <w:b/>
          <w:bCs/>
          <w:sz w:val="24"/>
          <w:szCs w:val="24"/>
          <w:lang w:val="es-MX"/>
        </w:rPr>
        <w:t xml:space="preserve"> Piura</w:t>
      </w:r>
    </w:p>
    <w:p w14:paraId="407373C3" w14:textId="77777777" w:rsidR="006D0E73" w:rsidRPr="006D0E73" w:rsidRDefault="006D0E73" w:rsidP="006D0E73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6D0E73">
        <w:rPr>
          <w:rFonts w:ascii="Arial" w:hAnsi="Arial" w:cs="Arial"/>
          <w:i/>
          <w:iCs/>
          <w:sz w:val="24"/>
          <w:szCs w:val="24"/>
          <w:lang w:val="es-MX"/>
        </w:rPr>
        <w:t>El grupo de trabajo estará compuesto por tres profesionales de la DIGENIPAA, quienes evaluarán el estado situacional de las inversiones y posteriormente realizarán su entrega física.</w:t>
      </w:r>
    </w:p>
    <w:p w14:paraId="4DA9344F" w14:textId="405286D5" w:rsidR="006D0E73" w:rsidRPr="00A529FC" w:rsidRDefault="006D0E73" w:rsidP="0025757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>El Fondo Nacional de Desarrollo Pesquero (FONDEPES) conformará una Comisión Técnica para la entrega física de obras de los proyectos de inversión y/o</w:t>
      </w:r>
      <w:r w:rsidR="0025757D" w:rsidRPr="00A529FC">
        <w:rPr>
          <w:rFonts w:ascii="Arial" w:hAnsi="Arial" w:cs="Arial"/>
          <w:sz w:val="24"/>
          <w:szCs w:val="24"/>
          <w:lang w:val="es-MX"/>
        </w:rPr>
        <w:t xml:space="preserve"> proyectos de Identificación de Inversiones de Optimización, de Ampliación Marginal, de Rehabilitación y de Reposición (</w:t>
      </w:r>
      <w:r w:rsidRPr="00A529FC">
        <w:rPr>
          <w:rFonts w:ascii="Arial" w:hAnsi="Arial" w:cs="Arial"/>
          <w:sz w:val="24"/>
          <w:szCs w:val="24"/>
          <w:lang w:val="es-MX"/>
        </w:rPr>
        <w:t>IOARR</w:t>
      </w:r>
      <w:r w:rsidR="0025757D" w:rsidRPr="00A529FC">
        <w:rPr>
          <w:rFonts w:ascii="Arial" w:hAnsi="Arial" w:cs="Arial"/>
          <w:sz w:val="24"/>
          <w:szCs w:val="24"/>
          <w:lang w:val="es-MX"/>
        </w:rPr>
        <w:t>)</w:t>
      </w:r>
      <w:r w:rsidRPr="00A529FC">
        <w:rPr>
          <w:rFonts w:ascii="Arial" w:hAnsi="Arial" w:cs="Arial"/>
          <w:sz w:val="24"/>
          <w:szCs w:val="24"/>
          <w:lang w:val="es-MX"/>
        </w:rPr>
        <w:t xml:space="preserve"> ejecutados por la entidad </w:t>
      </w:r>
      <w:r w:rsidRPr="00A529FC">
        <w:rPr>
          <w:rFonts w:ascii="Arial" w:hAnsi="Arial"/>
          <w:sz w:val="24"/>
          <w:lang w:val="es-MX"/>
        </w:rPr>
        <w:t>en los desembarcaderos pesqueros artesanales de la provincia de Talara en la región Piura.</w:t>
      </w:r>
    </w:p>
    <w:p w14:paraId="6F488A92" w14:textId="77777777" w:rsidR="006D0E73" w:rsidRPr="00A529FC" w:rsidRDefault="006D0E73" w:rsidP="006D0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 xml:space="preserve">Esta decisión surgió como resultado de una reunión sostenida entre la jefa del FONDEPES, Katia Novoa Sánchez, un equipo técnico de la institución, el gobernador regional de Piura, Luis </w:t>
      </w:r>
      <w:proofErr w:type="spellStart"/>
      <w:r w:rsidRPr="00A529FC">
        <w:rPr>
          <w:rFonts w:ascii="Arial" w:hAnsi="Arial" w:cs="Arial"/>
          <w:sz w:val="24"/>
          <w:szCs w:val="24"/>
          <w:lang w:val="es-MX"/>
        </w:rPr>
        <w:t>Neyra</w:t>
      </w:r>
      <w:proofErr w:type="spellEnd"/>
      <w:r w:rsidRPr="00A529FC">
        <w:rPr>
          <w:rFonts w:ascii="Arial" w:hAnsi="Arial" w:cs="Arial"/>
          <w:sz w:val="24"/>
          <w:szCs w:val="24"/>
          <w:lang w:val="es-MX"/>
        </w:rPr>
        <w:t xml:space="preserve"> León, y funcionarios del Gobierno Regional.</w:t>
      </w:r>
    </w:p>
    <w:p w14:paraId="4CF8F501" w14:textId="2BC5B7A8" w:rsidR="006D0E73" w:rsidRPr="00A529FC" w:rsidRDefault="006D0E73" w:rsidP="006D0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 xml:space="preserve">El equipo de trabajo estará compuesto por tres profesionales de la Dirección General de Inversión Pesquera Artesanal y Acuícola (DIGENIPAA) del FONDEPES. </w:t>
      </w:r>
      <w:r w:rsidRPr="00A529FC">
        <w:rPr>
          <w:rFonts w:ascii="Arial" w:hAnsi="Arial"/>
          <w:sz w:val="24"/>
          <w:lang w:val="es-MX"/>
        </w:rPr>
        <w:t>Las inversiones a entregarse corresponden a los DPA de Máncora, Los Órganos, El Ñuro y Talara.</w:t>
      </w:r>
    </w:p>
    <w:p w14:paraId="05DC0BD9" w14:textId="7F0D6B41" w:rsidR="006D0E73" w:rsidRPr="00A529FC" w:rsidRDefault="006D0E73" w:rsidP="006D0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>El próximo 21 y 22 de marzo de 2024, la Comisión Técnica en conjunto con funcionarios del GORE Piura realizarán una visita a los referidos DPA para evaluar el estado situacional de las inversiones, y posteriormente realizar la entrega física de las obras para su operación a cargo del gobierno regional.</w:t>
      </w:r>
    </w:p>
    <w:p w14:paraId="65BF2732" w14:textId="1FEF57CC" w:rsidR="006D0E73" w:rsidRPr="00A529FC" w:rsidRDefault="006D0E73" w:rsidP="006D0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 xml:space="preserve">En el caso del </w:t>
      </w:r>
      <w:r w:rsidR="0025757D" w:rsidRPr="00A529FC">
        <w:rPr>
          <w:rFonts w:ascii="Arial" w:hAnsi="Arial" w:cs="Arial"/>
          <w:sz w:val="24"/>
          <w:szCs w:val="24"/>
          <w:lang w:val="es-MX"/>
        </w:rPr>
        <w:t>DP</w:t>
      </w:r>
      <w:r w:rsidRPr="00A529FC">
        <w:rPr>
          <w:rFonts w:ascii="Arial" w:hAnsi="Arial" w:cs="Arial"/>
          <w:sz w:val="24"/>
          <w:szCs w:val="24"/>
          <w:lang w:val="es-MX"/>
        </w:rPr>
        <w:t xml:space="preserve">A de Máncora, el proyecto de mejoramiento de los servicios incluye diversas obras complementarias, como la ampliación de potencia para el sistema de utilización en media tensión 10 </w:t>
      </w:r>
      <w:proofErr w:type="spellStart"/>
      <w:r w:rsidRPr="00A529FC">
        <w:rPr>
          <w:rFonts w:ascii="Arial" w:hAnsi="Arial" w:cs="Arial"/>
          <w:sz w:val="24"/>
          <w:szCs w:val="24"/>
          <w:lang w:val="es-MX"/>
        </w:rPr>
        <w:t>kv</w:t>
      </w:r>
      <w:proofErr w:type="spellEnd"/>
      <w:r w:rsidRPr="00A529FC">
        <w:rPr>
          <w:rFonts w:ascii="Arial" w:hAnsi="Arial" w:cs="Arial"/>
          <w:sz w:val="24"/>
          <w:szCs w:val="24"/>
          <w:lang w:val="es-MX"/>
        </w:rPr>
        <w:t>, así como la adecuación de la sala de tareas previas y área de desinfección para cumplir con la norma sanitaria de la Infraestructura pesquera para consumo directo, entre otras medidas.</w:t>
      </w:r>
    </w:p>
    <w:p w14:paraId="714F9F2C" w14:textId="61A157B5" w:rsidR="006D0E73" w:rsidRPr="00A529FC" w:rsidRDefault="006D0E73" w:rsidP="006D0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 xml:space="preserve">Por otro lado, en el DPA Los Órganos El Ñuro y </w:t>
      </w:r>
      <w:r w:rsidR="00347F23" w:rsidRPr="00A529FC">
        <w:rPr>
          <w:rFonts w:ascii="Arial" w:hAnsi="Arial" w:cs="Arial"/>
          <w:sz w:val="24"/>
          <w:szCs w:val="24"/>
          <w:lang w:val="es-MX"/>
        </w:rPr>
        <w:t>Talara</w:t>
      </w:r>
      <w:r w:rsidRPr="00A529FC">
        <w:rPr>
          <w:rFonts w:ascii="Arial" w:hAnsi="Arial" w:cs="Arial"/>
          <w:sz w:val="24"/>
          <w:szCs w:val="24"/>
          <w:lang w:val="es-MX"/>
        </w:rPr>
        <w:t xml:space="preserve"> las inversiones se centran en la optimización de la sala de procesamiento de Productos hidrobiológicos, y la remodelación de cerco perimétrico. Además, en los dos primeros también comprenden la remodelación de componentes de </w:t>
      </w:r>
      <w:r w:rsidR="00B3506B" w:rsidRPr="00A529FC">
        <w:rPr>
          <w:rFonts w:ascii="Arial" w:hAnsi="Arial" w:cs="Arial"/>
          <w:sz w:val="24"/>
          <w:szCs w:val="24"/>
          <w:lang w:val="es-MX"/>
        </w:rPr>
        <w:t>i</w:t>
      </w:r>
      <w:r w:rsidRPr="00A529FC">
        <w:rPr>
          <w:rFonts w:ascii="Arial" w:hAnsi="Arial" w:cs="Arial"/>
          <w:sz w:val="24"/>
          <w:szCs w:val="24"/>
          <w:lang w:val="es-MX"/>
        </w:rPr>
        <w:t>luminación, electricidad o información, baño o servicios sanitarios, losa de concreto y muelle</w:t>
      </w:r>
      <w:r w:rsidR="00B3506B" w:rsidRPr="00A529FC">
        <w:rPr>
          <w:rFonts w:ascii="Arial" w:hAnsi="Arial" w:cs="Arial"/>
          <w:sz w:val="24"/>
          <w:szCs w:val="24"/>
          <w:lang w:val="es-MX"/>
        </w:rPr>
        <w:t>.</w:t>
      </w:r>
    </w:p>
    <w:p w14:paraId="10808BE5" w14:textId="31501DC2" w:rsidR="00F67B82" w:rsidRPr="00D064A3" w:rsidRDefault="006D0E73" w:rsidP="0085672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529FC">
        <w:rPr>
          <w:rFonts w:ascii="Arial" w:hAnsi="Arial" w:cs="Arial"/>
          <w:sz w:val="24"/>
          <w:szCs w:val="24"/>
          <w:lang w:val="es-MX"/>
        </w:rPr>
        <w:t>Es preciso destacar que las obras cuentan con liquidación aprobada. Una vez concluido el proceso de entrega física del proyecto de inversión corresponde al Gobierno Regional de Piura promover, controlar y administrar el uso de los servicios de los mencionados DPAs. Esto en el marco del artículo 52 de la Ley N° 27867, Ley Orgánica de los Gobiernos Regionales.</w:t>
      </w:r>
    </w:p>
    <w:sectPr w:rsidR="00F67B82" w:rsidRPr="00D064A3" w:rsidSect="005E43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F577" w14:textId="77777777" w:rsidR="005E430A" w:rsidRDefault="005E430A">
      <w:pPr>
        <w:spacing w:after="0" w:line="240" w:lineRule="auto"/>
      </w:pPr>
      <w:r>
        <w:separator/>
      </w:r>
    </w:p>
  </w:endnote>
  <w:endnote w:type="continuationSeparator" w:id="0">
    <w:p w14:paraId="20C0E95A" w14:textId="77777777" w:rsidR="005E430A" w:rsidRDefault="005E430A">
      <w:pPr>
        <w:spacing w:after="0" w:line="240" w:lineRule="auto"/>
      </w:pPr>
      <w:r>
        <w:continuationSeparator/>
      </w:r>
    </w:p>
  </w:endnote>
  <w:endnote w:type="continuationNotice" w:id="1">
    <w:p w14:paraId="50FF0CFC" w14:textId="77777777" w:rsidR="005E430A" w:rsidRDefault="005E4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4E2" w14:textId="77777777" w:rsidR="009F3B9E" w:rsidRDefault="00000000" w:rsidP="003720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0CBF" w14:textId="77777777" w:rsidR="005E430A" w:rsidRDefault="005E430A">
      <w:pPr>
        <w:spacing w:after="0" w:line="240" w:lineRule="auto"/>
      </w:pPr>
      <w:r>
        <w:separator/>
      </w:r>
    </w:p>
  </w:footnote>
  <w:footnote w:type="continuationSeparator" w:id="0">
    <w:p w14:paraId="0397A037" w14:textId="77777777" w:rsidR="005E430A" w:rsidRDefault="005E430A">
      <w:pPr>
        <w:spacing w:after="0" w:line="240" w:lineRule="auto"/>
      </w:pPr>
      <w:r>
        <w:continuationSeparator/>
      </w:r>
    </w:p>
  </w:footnote>
  <w:footnote w:type="continuationNotice" w:id="1">
    <w:p w14:paraId="2F7EB4C2" w14:textId="77777777" w:rsidR="005E430A" w:rsidRDefault="005E4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801" w14:textId="77777777" w:rsidR="009F3B9E" w:rsidRDefault="0000000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80"/>
    <w:multiLevelType w:val="hybridMultilevel"/>
    <w:tmpl w:val="0F2AFF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43693"/>
    <w:multiLevelType w:val="hybridMultilevel"/>
    <w:tmpl w:val="C49E66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51451"/>
    <w:multiLevelType w:val="hybridMultilevel"/>
    <w:tmpl w:val="252C920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1EAD"/>
    <w:multiLevelType w:val="hybridMultilevel"/>
    <w:tmpl w:val="0E7ABE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8899">
    <w:abstractNumId w:val="3"/>
  </w:num>
  <w:num w:numId="2" w16cid:durableId="1908950843">
    <w:abstractNumId w:val="9"/>
  </w:num>
  <w:num w:numId="3" w16cid:durableId="34819886">
    <w:abstractNumId w:val="7"/>
  </w:num>
  <w:num w:numId="4" w16cid:durableId="1679382719">
    <w:abstractNumId w:val="11"/>
  </w:num>
  <w:num w:numId="5" w16cid:durableId="294216855">
    <w:abstractNumId w:val="6"/>
  </w:num>
  <w:num w:numId="6" w16cid:durableId="1252203320">
    <w:abstractNumId w:val="13"/>
  </w:num>
  <w:num w:numId="7" w16cid:durableId="1629892079">
    <w:abstractNumId w:val="8"/>
  </w:num>
  <w:num w:numId="8" w16cid:durableId="76707127">
    <w:abstractNumId w:val="1"/>
  </w:num>
  <w:num w:numId="9" w16cid:durableId="781731194">
    <w:abstractNumId w:val="2"/>
  </w:num>
  <w:num w:numId="10" w16cid:durableId="757214356">
    <w:abstractNumId w:val="12"/>
  </w:num>
  <w:num w:numId="11" w16cid:durableId="1776249374">
    <w:abstractNumId w:val="10"/>
  </w:num>
  <w:num w:numId="12" w16cid:durableId="1821000606">
    <w:abstractNumId w:val="5"/>
  </w:num>
  <w:num w:numId="13" w16cid:durableId="534462601">
    <w:abstractNumId w:val="0"/>
  </w:num>
  <w:num w:numId="14" w16cid:durableId="105034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026680"/>
    <w:rsid w:val="000420F2"/>
    <w:rsid w:val="00053AC3"/>
    <w:rsid w:val="00055D2C"/>
    <w:rsid w:val="000702A6"/>
    <w:rsid w:val="000743A4"/>
    <w:rsid w:val="000858CD"/>
    <w:rsid w:val="00094326"/>
    <w:rsid w:val="000963F6"/>
    <w:rsid w:val="000B5AB5"/>
    <w:rsid w:val="000D0DC0"/>
    <w:rsid w:val="000D7D3B"/>
    <w:rsid w:val="000E7EA5"/>
    <w:rsid w:val="00152FE2"/>
    <w:rsid w:val="00154043"/>
    <w:rsid w:val="00160EBE"/>
    <w:rsid w:val="00171856"/>
    <w:rsid w:val="001B504E"/>
    <w:rsid w:val="001D1CD3"/>
    <w:rsid w:val="001D7108"/>
    <w:rsid w:val="001E294E"/>
    <w:rsid w:val="001F3B0E"/>
    <w:rsid w:val="00215133"/>
    <w:rsid w:val="00231035"/>
    <w:rsid w:val="002442D5"/>
    <w:rsid w:val="00245ABC"/>
    <w:rsid w:val="002468AD"/>
    <w:rsid w:val="00255BB4"/>
    <w:rsid w:val="00255E8B"/>
    <w:rsid w:val="0025757D"/>
    <w:rsid w:val="00270D40"/>
    <w:rsid w:val="002C063A"/>
    <w:rsid w:val="002C46F7"/>
    <w:rsid w:val="002C72C2"/>
    <w:rsid w:val="002D71DA"/>
    <w:rsid w:val="002E6532"/>
    <w:rsid w:val="002F41D0"/>
    <w:rsid w:val="00306A69"/>
    <w:rsid w:val="00306B82"/>
    <w:rsid w:val="00311F8A"/>
    <w:rsid w:val="00315B49"/>
    <w:rsid w:val="003162B0"/>
    <w:rsid w:val="00347F23"/>
    <w:rsid w:val="00360E7D"/>
    <w:rsid w:val="00361F09"/>
    <w:rsid w:val="00370E53"/>
    <w:rsid w:val="00371F4E"/>
    <w:rsid w:val="00394D1C"/>
    <w:rsid w:val="003A0CE5"/>
    <w:rsid w:val="003C17C2"/>
    <w:rsid w:val="003C5403"/>
    <w:rsid w:val="003E2B24"/>
    <w:rsid w:val="00400C57"/>
    <w:rsid w:val="0041634E"/>
    <w:rsid w:val="00424808"/>
    <w:rsid w:val="0043269D"/>
    <w:rsid w:val="00435DC2"/>
    <w:rsid w:val="00436CC0"/>
    <w:rsid w:val="004571AB"/>
    <w:rsid w:val="00457341"/>
    <w:rsid w:val="004767D2"/>
    <w:rsid w:val="00477F02"/>
    <w:rsid w:val="00480827"/>
    <w:rsid w:val="004961E2"/>
    <w:rsid w:val="004A0F24"/>
    <w:rsid w:val="004A2973"/>
    <w:rsid w:val="00504E70"/>
    <w:rsid w:val="00510644"/>
    <w:rsid w:val="0051222C"/>
    <w:rsid w:val="00515CF5"/>
    <w:rsid w:val="0052468E"/>
    <w:rsid w:val="00541801"/>
    <w:rsid w:val="00561833"/>
    <w:rsid w:val="00563B90"/>
    <w:rsid w:val="00574CE0"/>
    <w:rsid w:val="00574DAF"/>
    <w:rsid w:val="005752E6"/>
    <w:rsid w:val="00582FBA"/>
    <w:rsid w:val="005856F4"/>
    <w:rsid w:val="00587A83"/>
    <w:rsid w:val="00590247"/>
    <w:rsid w:val="005924AC"/>
    <w:rsid w:val="00594AC3"/>
    <w:rsid w:val="00594B3A"/>
    <w:rsid w:val="00596A1F"/>
    <w:rsid w:val="005A1335"/>
    <w:rsid w:val="005A6630"/>
    <w:rsid w:val="005B0C1D"/>
    <w:rsid w:val="005B7BA0"/>
    <w:rsid w:val="005C146C"/>
    <w:rsid w:val="005E430A"/>
    <w:rsid w:val="0062048E"/>
    <w:rsid w:val="00634A1D"/>
    <w:rsid w:val="0064027D"/>
    <w:rsid w:val="0064600D"/>
    <w:rsid w:val="00664E53"/>
    <w:rsid w:val="00671AF3"/>
    <w:rsid w:val="006861B3"/>
    <w:rsid w:val="006A467F"/>
    <w:rsid w:val="006D0E73"/>
    <w:rsid w:val="006D5070"/>
    <w:rsid w:val="006D6AA2"/>
    <w:rsid w:val="006E6CDA"/>
    <w:rsid w:val="006F3090"/>
    <w:rsid w:val="007173CD"/>
    <w:rsid w:val="00723E20"/>
    <w:rsid w:val="00745E3B"/>
    <w:rsid w:val="0078139B"/>
    <w:rsid w:val="007A5602"/>
    <w:rsid w:val="007C2749"/>
    <w:rsid w:val="007D54D5"/>
    <w:rsid w:val="007D7A0B"/>
    <w:rsid w:val="007E4C0A"/>
    <w:rsid w:val="0081386A"/>
    <w:rsid w:val="00820534"/>
    <w:rsid w:val="00835A71"/>
    <w:rsid w:val="0084046D"/>
    <w:rsid w:val="00856729"/>
    <w:rsid w:val="00873716"/>
    <w:rsid w:val="00877064"/>
    <w:rsid w:val="00882949"/>
    <w:rsid w:val="008920BD"/>
    <w:rsid w:val="008B6A51"/>
    <w:rsid w:val="008D3375"/>
    <w:rsid w:val="008D79FA"/>
    <w:rsid w:val="008E1558"/>
    <w:rsid w:val="008E3518"/>
    <w:rsid w:val="008F1757"/>
    <w:rsid w:val="00905E46"/>
    <w:rsid w:val="009266FC"/>
    <w:rsid w:val="009426EC"/>
    <w:rsid w:val="00950B54"/>
    <w:rsid w:val="00957C0C"/>
    <w:rsid w:val="00975809"/>
    <w:rsid w:val="009A5EDC"/>
    <w:rsid w:val="009B01F8"/>
    <w:rsid w:val="009C44DF"/>
    <w:rsid w:val="009D546B"/>
    <w:rsid w:val="009F3B9E"/>
    <w:rsid w:val="009F792E"/>
    <w:rsid w:val="00A07366"/>
    <w:rsid w:val="00A240FA"/>
    <w:rsid w:val="00A50D43"/>
    <w:rsid w:val="00A529FC"/>
    <w:rsid w:val="00A6464D"/>
    <w:rsid w:val="00A732E7"/>
    <w:rsid w:val="00A7781A"/>
    <w:rsid w:val="00A83DE1"/>
    <w:rsid w:val="00A862DE"/>
    <w:rsid w:val="00A87A92"/>
    <w:rsid w:val="00A92FC1"/>
    <w:rsid w:val="00A973CF"/>
    <w:rsid w:val="00AB5386"/>
    <w:rsid w:val="00AB6A7C"/>
    <w:rsid w:val="00AC49C5"/>
    <w:rsid w:val="00AC771B"/>
    <w:rsid w:val="00AD61D6"/>
    <w:rsid w:val="00AE243B"/>
    <w:rsid w:val="00B020EF"/>
    <w:rsid w:val="00B107DC"/>
    <w:rsid w:val="00B13134"/>
    <w:rsid w:val="00B14328"/>
    <w:rsid w:val="00B229DD"/>
    <w:rsid w:val="00B3506B"/>
    <w:rsid w:val="00B50FF9"/>
    <w:rsid w:val="00B61403"/>
    <w:rsid w:val="00B66C66"/>
    <w:rsid w:val="00B72D1D"/>
    <w:rsid w:val="00B74DBD"/>
    <w:rsid w:val="00B75035"/>
    <w:rsid w:val="00B777A1"/>
    <w:rsid w:val="00B80BC6"/>
    <w:rsid w:val="00B8502B"/>
    <w:rsid w:val="00B86EAF"/>
    <w:rsid w:val="00B90EF5"/>
    <w:rsid w:val="00B932FA"/>
    <w:rsid w:val="00B9592B"/>
    <w:rsid w:val="00BE6075"/>
    <w:rsid w:val="00BE6F93"/>
    <w:rsid w:val="00BF5C24"/>
    <w:rsid w:val="00C1062E"/>
    <w:rsid w:val="00C23539"/>
    <w:rsid w:val="00C34C9C"/>
    <w:rsid w:val="00C43B40"/>
    <w:rsid w:val="00C43D34"/>
    <w:rsid w:val="00C46231"/>
    <w:rsid w:val="00C74D11"/>
    <w:rsid w:val="00C955D8"/>
    <w:rsid w:val="00CB2DFD"/>
    <w:rsid w:val="00CE75B5"/>
    <w:rsid w:val="00CF6A6C"/>
    <w:rsid w:val="00D064A3"/>
    <w:rsid w:val="00D238E9"/>
    <w:rsid w:val="00D40EA6"/>
    <w:rsid w:val="00D71ADF"/>
    <w:rsid w:val="00D74583"/>
    <w:rsid w:val="00D825C6"/>
    <w:rsid w:val="00DA2F20"/>
    <w:rsid w:val="00E23030"/>
    <w:rsid w:val="00E34BC9"/>
    <w:rsid w:val="00E60476"/>
    <w:rsid w:val="00E87CC1"/>
    <w:rsid w:val="00E92A31"/>
    <w:rsid w:val="00EA5E2B"/>
    <w:rsid w:val="00EB73F8"/>
    <w:rsid w:val="00ED3F74"/>
    <w:rsid w:val="00EE6F0A"/>
    <w:rsid w:val="00F20C80"/>
    <w:rsid w:val="00F22FB4"/>
    <w:rsid w:val="00F345D8"/>
    <w:rsid w:val="00F41EF8"/>
    <w:rsid w:val="00F50349"/>
    <w:rsid w:val="00F561DF"/>
    <w:rsid w:val="00F67226"/>
    <w:rsid w:val="00F67B82"/>
    <w:rsid w:val="00F67E56"/>
    <w:rsid w:val="00F92584"/>
    <w:rsid w:val="00FC655D"/>
    <w:rsid w:val="00FC7C5A"/>
    <w:rsid w:val="00FD04E2"/>
    <w:rsid w:val="00FD285F"/>
    <w:rsid w:val="00FE35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F704-9404-41EE-BE3A-242922B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5</cp:revision>
  <dcterms:created xsi:type="dcterms:W3CDTF">2024-03-13T14:08:00Z</dcterms:created>
  <dcterms:modified xsi:type="dcterms:W3CDTF">2024-03-13T21:28:00Z</dcterms:modified>
</cp:coreProperties>
</file>