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29B7" w14:textId="77777777" w:rsidR="00807406" w:rsidRDefault="005C70CB">
      <w:pPr>
        <w:jc w:val="center"/>
        <w:rPr>
          <w:rFonts w:ascii="Arial" w:eastAsia="Arial" w:hAnsi="Arial" w:cs="Arial"/>
          <w:b/>
          <w:u w:val="single"/>
        </w:rPr>
      </w:pPr>
      <w:r>
        <w:rPr>
          <w:rFonts w:ascii="Arial" w:eastAsia="Arial" w:hAnsi="Arial" w:cs="Arial"/>
          <w:b/>
          <w:u w:val="single"/>
        </w:rPr>
        <w:t>NOTA DE PRENSA</w:t>
      </w:r>
    </w:p>
    <w:p w14:paraId="1E4A5DA1" w14:textId="79A10D79" w:rsidR="005C70CB" w:rsidRPr="00C72D42" w:rsidRDefault="005C70CB" w:rsidP="00C72D42">
      <w:pPr>
        <w:pBdr>
          <w:top w:val="nil"/>
          <w:left w:val="nil"/>
          <w:bottom w:val="nil"/>
          <w:right w:val="nil"/>
          <w:between w:val="nil"/>
        </w:pBdr>
        <w:spacing w:after="0"/>
        <w:ind w:left="720"/>
        <w:jc w:val="center"/>
        <w:rPr>
          <w:rFonts w:ascii="Arial" w:eastAsia="Arial" w:hAnsi="Arial" w:cs="Arial"/>
          <w:b/>
          <w:color w:val="000000"/>
          <w:sz w:val="32"/>
          <w:szCs w:val="32"/>
        </w:rPr>
      </w:pPr>
      <w:bookmarkStart w:id="0" w:name="_heading=h.gjdgxs" w:colFirst="0" w:colLast="0"/>
      <w:bookmarkEnd w:id="0"/>
      <w:r>
        <w:rPr>
          <w:rFonts w:ascii="Arial" w:eastAsia="Arial" w:hAnsi="Arial" w:cs="Arial"/>
          <w:b/>
          <w:color w:val="000000"/>
          <w:sz w:val="32"/>
          <w:szCs w:val="32"/>
        </w:rPr>
        <w:t xml:space="preserve">Sanipes habilitó 299 embarcaciones artesanales </w:t>
      </w:r>
      <w:r w:rsidR="00840C89">
        <w:rPr>
          <w:rFonts w:ascii="Arial" w:eastAsia="Arial" w:hAnsi="Arial" w:cs="Arial"/>
          <w:b/>
          <w:color w:val="000000"/>
          <w:sz w:val="32"/>
          <w:szCs w:val="32"/>
        </w:rPr>
        <w:t>en el</w:t>
      </w:r>
      <w:r>
        <w:rPr>
          <w:rFonts w:ascii="Arial" w:eastAsia="Arial" w:hAnsi="Arial" w:cs="Arial"/>
          <w:b/>
          <w:color w:val="000000"/>
          <w:sz w:val="32"/>
          <w:szCs w:val="32"/>
        </w:rPr>
        <w:t xml:space="preserve"> primer trimestre del 2024</w:t>
      </w:r>
    </w:p>
    <w:p w14:paraId="05E42860" w14:textId="77777777" w:rsidR="005C70CB" w:rsidRDefault="005C70CB">
      <w:pPr>
        <w:pBdr>
          <w:top w:val="nil"/>
          <w:left w:val="nil"/>
          <w:bottom w:val="nil"/>
          <w:right w:val="nil"/>
          <w:between w:val="nil"/>
        </w:pBdr>
        <w:spacing w:after="0" w:line="240" w:lineRule="auto"/>
        <w:jc w:val="both"/>
        <w:rPr>
          <w:rFonts w:ascii="Arial" w:eastAsia="Arial" w:hAnsi="Arial" w:cs="Arial"/>
          <w:color w:val="000000"/>
        </w:rPr>
      </w:pPr>
    </w:p>
    <w:p w14:paraId="4C025919" w14:textId="28E69661" w:rsidR="00807406" w:rsidRDefault="005C70C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Ministerio de la Producción, a través del Organismo Nacional de Sanidad Pesquera (Sanipes</w:t>
      </w:r>
      <w:r w:rsidR="00840C89">
        <w:rPr>
          <w:rFonts w:ascii="Arial" w:eastAsia="Arial" w:hAnsi="Arial" w:cs="Arial"/>
          <w:color w:val="000000"/>
        </w:rPr>
        <w:t xml:space="preserve">), realizó la habilitación </w:t>
      </w:r>
      <w:r>
        <w:rPr>
          <w:rFonts w:ascii="Arial" w:eastAsia="Arial" w:hAnsi="Arial" w:cs="Arial"/>
          <w:color w:val="000000"/>
        </w:rPr>
        <w:t>sanitaria</w:t>
      </w:r>
      <w:r w:rsidR="00840C89">
        <w:rPr>
          <w:rFonts w:ascii="Arial" w:eastAsia="Arial" w:hAnsi="Arial" w:cs="Arial"/>
          <w:color w:val="000000"/>
        </w:rPr>
        <w:t xml:space="preserve"> de</w:t>
      </w:r>
      <w:r>
        <w:rPr>
          <w:rFonts w:ascii="Arial" w:eastAsia="Arial" w:hAnsi="Arial" w:cs="Arial"/>
          <w:color w:val="000000"/>
        </w:rPr>
        <w:t xml:space="preserve"> 299 embarcaciones pesqueras artesanales a nivel nacional en lo que va del 2024, de los cuales 34 ubicadas en la provincia de Sechura </w:t>
      </w:r>
      <w:r w:rsidR="00C72D42">
        <w:rPr>
          <w:rFonts w:ascii="Arial" w:eastAsia="Arial" w:hAnsi="Arial" w:cs="Arial"/>
          <w:color w:val="000000"/>
        </w:rPr>
        <w:t xml:space="preserve">en </w:t>
      </w:r>
      <w:bookmarkStart w:id="1" w:name="_GoBack"/>
      <w:bookmarkEnd w:id="1"/>
      <w:r>
        <w:rPr>
          <w:rFonts w:ascii="Arial" w:eastAsia="Arial" w:hAnsi="Arial" w:cs="Arial"/>
          <w:color w:val="000000"/>
        </w:rPr>
        <w:t xml:space="preserve">Piura, han sido habilitadas recientemente y están dedicadas a la extracción de </w:t>
      </w:r>
      <w:r>
        <w:rPr>
          <w:rFonts w:ascii="Arial" w:eastAsia="Arial" w:hAnsi="Arial" w:cs="Arial"/>
        </w:rPr>
        <w:t>moluscos</w:t>
      </w:r>
      <w:r>
        <w:rPr>
          <w:rFonts w:ascii="Arial" w:eastAsia="Arial" w:hAnsi="Arial" w:cs="Arial"/>
          <w:color w:val="000000"/>
        </w:rPr>
        <w:t xml:space="preserve"> bivalvos, fortaleciendo así la cadena de producción acuícola en el norte del país.</w:t>
      </w:r>
    </w:p>
    <w:p w14:paraId="1120FEEF" w14:textId="77777777" w:rsidR="00807406" w:rsidRDefault="00807406">
      <w:pPr>
        <w:pBdr>
          <w:top w:val="nil"/>
          <w:left w:val="nil"/>
          <w:bottom w:val="nil"/>
          <w:right w:val="nil"/>
          <w:between w:val="nil"/>
        </w:pBdr>
        <w:spacing w:after="0" w:line="240" w:lineRule="auto"/>
        <w:jc w:val="both"/>
        <w:rPr>
          <w:rFonts w:ascii="Arial" w:eastAsia="Arial" w:hAnsi="Arial" w:cs="Arial"/>
          <w:color w:val="000000"/>
          <w:sz w:val="10"/>
          <w:szCs w:val="10"/>
        </w:rPr>
      </w:pPr>
    </w:p>
    <w:p w14:paraId="39E0CB0D" w14:textId="77777777" w:rsidR="00807406" w:rsidRDefault="005C70C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Tras la revisión de los manuales de Buenas Prácticas de Manipulación a Bordo y Programa de Higiene y Saneamiento de Embarcaciones de Moluscos Bivalvos por parte de Sanipes, los especialistas de la autoridad sanitaria realizaron la auditoría para evidenciar el cumplimiento de la normativa sanitaria en los desembarcaderos pesqueros artesanales DPA Parachique y DPA Puerto Rico.</w:t>
      </w:r>
    </w:p>
    <w:p w14:paraId="7FDA7C59" w14:textId="77777777" w:rsidR="00807406" w:rsidRDefault="00807406">
      <w:pPr>
        <w:pBdr>
          <w:top w:val="nil"/>
          <w:left w:val="nil"/>
          <w:bottom w:val="nil"/>
          <w:right w:val="nil"/>
          <w:between w:val="nil"/>
        </w:pBdr>
        <w:spacing w:after="0" w:line="240" w:lineRule="auto"/>
        <w:jc w:val="both"/>
        <w:rPr>
          <w:rFonts w:ascii="Arial" w:eastAsia="Arial" w:hAnsi="Arial" w:cs="Arial"/>
          <w:color w:val="000000"/>
          <w:sz w:val="10"/>
          <w:szCs w:val="10"/>
        </w:rPr>
      </w:pPr>
    </w:p>
    <w:p w14:paraId="7BE15F3C" w14:textId="2031E60B" w:rsidR="00807406" w:rsidRDefault="005C70CB">
      <w:pPr>
        <w:pBdr>
          <w:top w:val="nil"/>
          <w:left w:val="nil"/>
          <w:bottom w:val="nil"/>
          <w:right w:val="nil"/>
          <w:between w:val="nil"/>
        </w:pBdr>
        <w:spacing w:after="0" w:line="240" w:lineRule="auto"/>
        <w:jc w:val="both"/>
        <w:rPr>
          <w:rFonts w:ascii="Arial" w:eastAsia="Arial" w:hAnsi="Arial" w:cs="Arial"/>
          <w:color w:val="000000"/>
        </w:rPr>
      </w:pPr>
      <w:bookmarkStart w:id="2" w:name="_heading=h.2et92p0" w:colFirst="0" w:colLast="0"/>
      <w:bookmarkEnd w:id="2"/>
      <w:r>
        <w:rPr>
          <w:rFonts w:ascii="Arial" w:eastAsia="Arial" w:hAnsi="Arial" w:cs="Arial"/>
          <w:color w:val="000000"/>
        </w:rPr>
        <w:t xml:space="preserve">Actualmente, 7821 embarcaciones artesanales laboran con </w:t>
      </w:r>
      <w:r>
        <w:rPr>
          <w:rFonts w:ascii="Arial" w:eastAsia="Arial" w:hAnsi="Arial" w:cs="Arial"/>
        </w:rPr>
        <w:t>el Protocolo Técnico de Habilitación Sanitaria,</w:t>
      </w:r>
      <w:r>
        <w:rPr>
          <w:rFonts w:ascii="Arial" w:eastAsia="Arial" w:hAnsi="Arial" w:cs="Arial"/>
          <w:color w:val="000000"/>
        </w:rPr>
        <w:t xml:space="preserve"> </w:t>
      </w:r>
      <w:r w:rsidR="00840C89">
        <w:rPr>
          <w:rFonts w:ascii="Arial" w:eastAsia="Arial" w:hAnsi="Arial" w:cs="Arial"/>
          <w:color w:val="000000"/>
        </w:rPr>
        <w:t>de las cuales</w:t>
      </w:r>
      <w:r>
        <w:rPr>
          <w:rFonts w:ascii="Arial" w:eastAsia="Arial" w:hAnsi="Arial" w:cs="Arial"/>
          <w:color w:val="000000"/>
        </w:rPr>
        <w:t xml:space="preserve"> 6188 embarcaciones artesanales </w:t>
      </w:r>
      <w:r w:rsidR="00840C89">
        <w:rPr>
          <w:rFonts w:ascii="Arial" w:eastAsia="Arial" w:hAnsi="Arial" w:cs="Arial"/>
          <w:color w:val="000000"/>
        </w:rPr>
        <w:t>pertenecen a</w:t>
      </w:r>
      <w:r>
        <w:rPr>
          <w:rFonts w:ascii="Arial" w:eastAsia="Arial" w:hAnsi="Arial" w:cs="Arial"/>
          <w:color w:val="000000"/>
        </w:rPr>
        <w:t xml:space="preserve"> la pesca y 1633 embarcaciones </w:t>
      </w:r>
      <w:r w:rsidR="00840C89">
        <w:rPr>
          <w:rFonts w:ascii="Arial" w:eastAsia="Arial" w:hAnsi="Arial" w:cs="Arial"/>
          <w:color w:val="000000"/>
        </w:rPr>
        <w:t xml:space="preserve">son de </w:t>
      </w:r>
      <w:r>
        <w:rPr>
          <w:rFonts w:ascii="Arial" w:eastAsia="Arial" w:hAnsi="Arial" w:cs="Arial"/>
          <w:color w:val="000000"/>
        </w:rPr>
        <w:t xml:space="preserve">moluscos bivalvos. En el 2023, Sanipes </w:t>
      </w:r>
      <w:r>
        <w:rPr>
          <w:rFonts w:ascii="Arial" w:eastAsia="Arial" w:hAnsi="Arial" w:cs="Arial"/>
        </w:rPr>
        <w:t>habilitó sanitariamente</w:t>
      </w:r>
      <w:r>
        <w:rPr>
          <w:rFonts w:ascii="Arial" w:eastAsia="Arial" w:hAnsi="Arial" w:cs="Arial"/>
          <w:color w:val="000000"/>
        </w:rPr>
        <w:t xml:space="preserve"> a 2216 embarcaciones pesqueras artesanales a nivel nacional.</w:t>
      </w:r>
    </w:p>
    <w:p w14:paraId="100F7936" w14:textId="77777777" w:rsidR="00807406" w:rsidRDefault="00807406">
      <w:pPr>
        <w:pBdr>
          <w:top w:val="nil"/>
          <w:left w:val="nil"/>
          <w:bottom w:val="nil"/>
          <w:right w:val="nil"/>
          <w:between w:val="nil"/>
        </w:pBdr>
        <w:spacing w:after="0" w:line="240" w:lineRule="auto"/>
        <w:jc w:val="both"/>
        <w:rPr>
          <w:rFonts w:ascii="Arial" w:eastAsia="Arial" w:hAnsi="Arial" w:cs="Arial"/>
          <w:color w:val="000000"/>
          <w:sz w:val="10"/>
          <w:szCs w:val="10"/>
        </w:rPr>
      </w:pPr>
    </w:p>
    <w:p w14:paraId="3CA9BC32" w14:textId="77777777" w:rsidR="00807406" w:rsidRDefault="005C70C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Sechura tiene una población aproximada de 79 000 habitantes, los cuales se benefician directa y/o indirectamente por el crecimiento de la cadena acuícola, en especial para el consumo humano directo; y Sanipes contribuye con este procedimiento sanitario que los productos sean inocuos y sanos, muchos de los cuales son destinadas para la exportación, lo que brinda la confianza de las empresas del exterior a importar productos aptos sanitariamente.</w:t>
      </w:r>
    </w:p>
    <w:p w14:paraId="56A5B11D" w14:textId="77777777" w:rsidR="00807406" w:rsidRDefault="00807406">
      <w:pPr>
        <w:pBdr>
          <w:top w:val="nil"/>
          <w:left w:val="nil"/>
          <w:bottom w:val="nil"/>
          <w:right w:val="nil"/>
          <w:between w:val="nil"/>
        </w:pBdr>
        <w:spacing w:after="0" w:line="240" w:lineRule="auto"/>
        <w:jc w:val="both"/>
        <w:rPr>
          <w:rFonts w:ascii="Arial" w:eastAsia="Arial" w:hAnsi="Arial" w:cs="Arial"/>
          <w:color w:val="000000"/>
          <w:sz w:val="10"/>
          <w:szCs w:val="10"/>
        </w:rPr>
      </w:pPr>
    </w:p>
    <w:p w14:paraId="2D889568" w14:textId="77777777" w:rsidR="00807406" w:rsidRDefault="005C70CB">
      <w:r>
        <w:rPr>
          <w:rFonts w:ascii="Arial" w:eastAsia="Arial" w:hAnsi="Arial" w:cs="Arial"/>
          <w:color w:val="000000"/>
        </w:rPr>
        <w:t xml:space="preserve">Para verificar si se encuentra habilitada alguna embarcación a nivel nacional, pueden ingresar a este link y colocar la matrícula, nombre y/o código de habilitación: </w:t>
      </w:r>
      <w:hyperlink r:id="rId8">
        <w:r>
          <w:rPr>
            <w:rFonts w:ascii="Arial" w:eastAsia="Arial" w:hAnsi="Arial" w:cs="Arial"/>
            <w:color w:val="0563C1"/>
            <w:highlight w:val="white"/>
            <w:u w:val="single"/>
          </w:rPr>
          <w:t>http://app02.sanipes.gob.pe:8089/Publico/Consulta_protocolos_embarcacion_pesca</w:t>
        </w:r>
      </w:hyperlink>
    </w:p>
    <w:p w14:paraId="6BD87186" w14:textId="77777777" w:rsidR="00807406" w:rsidRDefault="005C70CB">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¿Cómo obtienen las embarcaciones la habilitación sanitaria?</w:t>
      </w:r>
    </w:p>
    <w:p w14:paraId="4B3F2745" w14:textId="77777777" w:rsidR="00A60983" w:rsidRPr="00ED47EA" w:rsidRDefault="005C70CB" w:rsidP="00ED47EA">
      <w:pPr>
        <w:pStyle w:val="Prrafodelista"/>
        <w:numPr>
          <w:ilvl w:val="0"/>
          <w:numId w:val="3"/>
        </w:numPr>
        <w:shd w:val="clear" w:color="auto" w:fill="FFFFFF"/>
        <w:spacing w:after="0" w:line="240" w:lineRule="auto"/>
        <w:jc w:val="both"/>
        <w:rPr>
          <w:rFonts w:ascii="Arial" w:eastAsia="Arial" w:hAnsi="Arial" w:cs="Arial"/>
        </w:rPr>
      </w:pPr>
      <w:r w:rsidRPr="00ED47EA">
        <w:rPr>
          <w:rFonts w:ascii="Arial" w:eastAsia="Arial" w:hAnsi="Arial" w:cs="Arial"/>
        </w:rPr>
        <w:t>Se otorga a solicitud, a través del procedimiento N° 23 del Texto Único de Procedimientos Administrativos - TUPA de SANIPES</w:t>
      </w:r>
      <w:r w:rsidR="00A60983" w:rsidRPr="00ED47EA">
        <w:rPr>
          <w:rFonts w:ascii="Arial" w:eastAsia="Arial" w:hAnsi="Arial" w:cs="Arial"/>
        </w:rPr>
        <w:t>.</w:t>
      </w:r>
    </w:p>
    <w:p w14:paraId="38754C9A" w14:textId="77777777" w:rsidR="00A60983" w:rsidRPr="00ED47EA" w:rsidRDefault="00A60983" w:rsidP="00ED47EA">
      <w:pPr>
        <w:pStyle w:val="Prrafodelista"/>
        <w:numPr>
          <w:ilvl w:val="0"/>
          <w:numId w:val="3"/>
        </w:numPr>
        <w:shd w:val="clear" w:color="auto" w:fill="FFFFFF"/>
        <w:spacing w:after="0" w:line="240" w:lineRule="auto"/>
        <w:jc w:val="both"/>
        <w:rPr>
          <w:rFonts w:ascii="Arial" w:eastAsia="Arial" w:hAnsi="Arial" w:cs="Arial"/>
        </w:rPr>
      </w:pPr>
      <w:r w:rsidRPr="00ED47EA">
        <w:rPr>
          <w:rFonts w:ascii="Arial" w:eastAsia="Arial" w:hAnsi="Arial" w:cs="Arial"/>
        </w:rPr>
        <w:t>El</w:t>
      </w:r>
      <w:r w:rsidR="005C70CB" w:rsidRPr="00ED47EA">
        <w:rPr>
          <w:rFonts w:ascii="Arial" w:eastAsia="Arial" w:hAnsi="Arial" w:cs="Arial"/>
        </w:rPr>
        <w:t xml:space="preserve"> trámite es virtual, con lo cual, el administrado no tiene que desplazarse hacia las instalaciones del Sanipes para el trámite</w:t>
      </w:r>
      <w:r w:rsidRPr="00ED47EA">
        <w:rPr>
          <w:rFonts w:ascii="Arial" w:eastAsia="Arial" w:hAnsi="Arial" w:cs="Arial"/>
        </w:rPr>
        <w:t>.</w:t>
      </w:r>
    </w:p>
    <w:p w14:paraId="69880B1A" w14:textId="64534A5A" w:rsidR="00807406" w:rsidRPr="00ED47EA" w:rsidRDefault="00A60983" w:rsidP="00ED47EA">
      <w:pPr>
        <w:pStyle w:val="Prrafodelista"/>
        <w:numPr>
          <w:ilvl w:val="0"/>
          <w:numId w:val="3"/>
        </w:numPr>
        <w:shd w:val="clear" w:color="auto" w:fill="FFFFFF"/>
        <w:spacing w:after="0" w:line="240" w:lineRule="auto"/>
        <w:jc w:val="both"/>
        <w:rPr>
          <w:rFonts w:ascii="Arial" w:eastAsia="Arial" w:hAnsi="Arial" w:cs="Arial"/>
        </w:rPr>
      </w:pPr>
      <w:r w:rsidRPr="00ED47EA">
        <w:rPr>
          <w:rFonts w:ascii="Arial" w:eastAsia="Arial" w:hAnsi="Arial" w:cs="Arial"/>
          <w:bCs/>
        </w:rPr>
        <w:t>Es gratuito</w:t>
      </w:r>
      <w:r w:rsidR="00ED47EA">
        <w:rPr>
          <w:rFonts w:ascii="Arial" w:eastAsia="Arial" w:hAnsi="Arial" w:cs="Arial"/>
          <w:bCs/>
        </w:rPr>
        <w:t xml:space="preserve"> y debe</w:t>
      </w:r>
      <w:r w:rsidR="005C70CB" w:rsidRPr="00ED47EA">
        <w:rPr>
          <w:rFonts w:ascii="Arial" w:eastAsia="Arial" w:hAnsi="Arial" w:cs="Arial"/>
        </w:rPr>
        <w:t xml:space="preserve"> adjuntar los siguientes requisitos:</w:t>
      </w:r>
    </w:p>
    <w:p w14:paraId="231ED42A" w14:textId="77777777" w:rsidR="00807406" w:rsidRDefault="005C70CB">
      <w:pPr>
        <w:numPr>
          <w:ilvl w:val="0"/>
          <w:numId w:val="1"/>
        </w:numPr>
        <w:shd w:val="clear" w:color="auto" w:fill="FFFFFF"/>
        <w:spacing w:after="0" w:line="240" w:lineRule="auto"/>
        <w:jc w:val="both"/>
        <w:rPr>
          <w:rFonts w:ascii="Arial" w:eastAsia="Arial" w:hAnsi="Arial" w:cs="Arial"/>
        </w:rPr>
      </w:pPr>
      <w:r>
        <w:rPr>
          <w:rFonts w:ascii="Arial" w:eastAsia="Arial" w:hAnsi="Arial" w:cs="Arial"/>
        </w:rPr>
        <w:t>Solicitud dirigida a la Dirección de Habilitaciones y Certificaciones (Formulario Único).</w:t>
      </w:r>
    </w:p>
    <w:p w14:paraId="70BE226D" w14:textId="77777777" w:rsidR="00807406" w:rsidRDefault="005C70CB">
      <w:pPr>
        <w:numPr>
          <w:ilvl w:val="0"/>
          <w:numId w:val="1"/>
        </w:numPr>
        <w:shd w:val="clear" w:color="auto" w:fill="FFFFFF"/>
        <w:spacing w:after="0" w:line="240" w:lineRule="auto"/>
        <w:jc w:val="both"/>
        <w:rPr>
          <w:rFonts w:ascii="Arial" w:eastAsia="Arial" w:hAnsi="Arial" w:cs="Arial"/>
        </w:rPr>
      </w:pPr>
      <w:r>
        <w:rPr>
          <w:rFonts w:ascii="Arial" w:eastAsia="Arial" w:hAnsi="Arial" w:cs="Arial"/>
        </w:rPr>
        <w:t>Programa de Higiene y Saneamiento (PHS).</w:t>
      </w:r>
    </w:p>
    <w:p w14:paraId="493BA143" w14:textId="77777777" w:rsidR="00807406" w:rsidRDefault="005C70CB">
      <w:pPr>
        <w:numPr>
          <w:ilvl w:val="0"/>
          <w:numId w:val="1"/>
        </w:numPr>
        <w:shd w:val="clear" w:color="auto" w:fill="FFFFFF"/>
        <w:spacing w:after="0" w:line="240" w:lineRule="auto"/>
        <w:jc w:val="both"/>
        <w:rPr>
          <w:rFonts w:ascii="Arial" w:eastAsia="Arial" w:hAnsi="Arial" w:cs="Arial"/>
        </w:rPr>
      </w:pPr>
      <w:r>
        <w:rPr>
          <w:rFonts w:ascii="Arial" w:eastAsia="Arial" w:hAnsi="Arial" w:cs="Arial"/>
        </w:rPr>
        <w:t>Programa de Buenas Prácticas de Manipulación y Preservación a bordo.</w:t>
      </w:r>
    </w:p>
    <w:p w14:paraId="0FA67650" w14:textId="77777777" w:rsidR="00807406" w:rsidRDefault="00807406">
      <w:pPr>
        <w:shd w:val="clear" w:color="auto" w:fill="FFFFFF"/>
        <w:spacing w:after="0" w:line="240" w:lineRule="auto"/>
        <w:jc w:val="both"/>
        <w:rPr>
          <w:rFonts w:ascii="Arial" w:eastAsia="Arial" w:hAnsi="Arial" w:cs="Arial"/>
          <w:sz w:val="10"/>
          <w:szCs w:val="10"/>
        </w:rPr>
      </w:pPr>
    </w:p>
    <w:p w14:paraId="00158EEB" w14:textId="7EC29F4B" w:rsidR="00807406" w:rsidRDefault="005C70CB">
      <w:pPr>
        <w:shd w:val="clear" w:color="auto" w:fill="FFFFFF"/>
        <w:spacing w:after="0" w:line="240" w:lineRule="auto"/>
        <w:jc w:val="both"/>
        <w:rPr>
          <w:rFonts w:ascii="Arial" w:eastAsia="Arial" w:hAnsi="Arial" w:cs="Arial"/>
        </w:rPr>
      </w:pPr>
      <w:r>
        <w:rPr>
          <w:rFonts w:ascii="Arial" w:eastAsia="Arial" w:hAnsi="Arial" w:cs="Arial"/>
        </w:rPr>
        <w:t xml:space="preserve">Asimismo, este proceso está sujeto a inspección sanitaria y el plazo del procedimiento TUPA es de 15 días; sin embargo, los expedientes son atendidos en </w:t>
      </w:r>
      <w:r w:rsidR="00A60983">
        <w:rPr>
          <w:rFonts w:ascii="Arial" w:eastAsia="Arial" w:hAnsi="Arial" w:cs="Arial"/>
        </w:rPr>
        <w:t xml:space="preserve">el </w:t>
      </w:r>
      <w:r>
        <w:rPr>
          <w:rFonts w:ascii="Arial" w:eastAsia="Arial" w:hAnsi="Arial" w:cs="Arial"/>
        </w:rPr>
        <w:t>menor tiempo</w:t>
      </w:r>
      <w:r w:rsidR="00A60983">
        <w:rPr>
          <w:rFonts w:ascii="Arial" w:eastAsia="Arial" w:hAnsi="Arial" w:cs="Arial"/>
        </w:rPr>
        <w:t xml:space="preserve"> posible</w:t>
      </w:r>
      <w:r>
        <w:rPr>
          <w:rFonts w:ascii="Arial" w:eastAsia="Arial" w:hAnsi="Arial" w:cs="Arial"/>
        </w:rPr>
        <w:t>.</w:t>
      </w:r>
    </w:p>
    <w:p w14:paraId="56187528" w14:textId="77777777" w:rsidR="00807406" w:rsidRDefault="00807406">
      <w:pPr>
        <w:pBdr>
          <w:top w:val="nil"/>
          <w:left w:val="nil"/>
          <w:bottom w:val="nil"/>
          <w:right w:val="nil"/>
          <w:between w:val="nil"/>
        </w:pBdr>
        <w:spacing w:after="0" w:line="240" w:lineRule="auto"/>
        <w:jc w:val="both"/>
        <w:rPr>
          <w:rFonts w:ascii="Arial" w:eastAsia="Arial" w:hAnsi="Arial" w:cs="Arial"/>
          <w:color w:val="000000"/>
        </w:rPr>
      </w:pPr>
    </w:p>
    <w:p w14:paraId="03536AAF" w14:textId="77777777" w:rsidR="00807406" w:rsidRDefault="00807406">
      <w:pPr>
        <w:pBdr>
          <w:top w:val="nil"/>
          <w:left w:val="nil"/>
          <w:bottom w:val="nil"/>
          <w:right w:val="nil"/>
          <w:between w:val="nil"/>
        </w:pBdr>
        <w:spacing w:after="0" w:line="240" w:lineRule="auto"/>
        <w:jc w:val="both"/>
        <w:rPr>
          <w:rFonts w:ascii="Arial" w:eastAsia="Arial" w:hAnsi="Arial" w:cs="Arial"/>
          <w:color w:val="000000"/>
          <w:sz w:val="10"/>
          <w:szCs w:val="10"/>
        </w:rPr>
      </w:pPr>
    </w:p>
    <w:p w14:paraId="323072F3" w14:textId="77777777" w:rsidR="00807406" w:rsidRDefault="005C70C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Agradecemos su difusión.</w:t>
      </w:r>
    </w:p>
    <w:p w14:paraId="07B690AD" w14:textId="77777777" w:rsidR="00807406" w:rsidRDefault="00807406">
      <w:pPr>
        <w:jc w:val="both"/>
        <w:rPr>
          <w:rFonts w:ascii="Arial" w:eastAsia="Arial" w:hAnsi="Arial" w:cs="Arial"/>
          <w:sz w:val="24"/>
          <w:szCs w:val="24"/>
        </w:rPr>
      </w:pPr>
    </w:p>
    <w:sectPr w:rsidR="00807406">
      <w:headerReference w:type="default" r:id="rId9"/>
      <w:footerReference w:type="defaul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AF9B8" w14:textId="77777777" w:rsidR="008A6BE8" w:rsidRDefault="008A6BE8">
      <w:pPr>
        <w:spacing w:after="0" w:line="240" w:lineRule="auto"/>
      </w:pPr>
      <w:r>
        <w:separator/>
      </w:r>
    </w:p>
  </w:endnote>
  <w:endnote w:type="continuationSeparator" w:id="0">
    <w:p w14:paraId="34E5A409" w14:textId="77777777" w:rsidR="008A6BE8" w:rsidRDefault="008A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8CBB" w14:textId="77777777" w:rsidR="00807406" w:rsidRDefault="005C70CB">
    <w:pPr>
      <w:spacing w:after="0" w:line="240" w:lineRule="auto"/>
      <w:ind w:left="-284" w:hanging="1"/>
      <w:rPr>
        <w:rFonts w:ascii="Times New Roman" w:eastAsia="Times New Roman" w:hAnsi="Times New Roman" w:cs="Times New Roman"/>
        <w:sz w:val="10"/>
        <w:szCs w:val="10"/>
      </w:rPr>
    </w:pPr>
    <w:bookmarkStart w:id="4" w:name="_heading=h.1fob9te" w:colFirst="0" w:colLast="0"/>
    <w:bookmarkEnd w:id="4"/>
    <w:r>
      <w:rPr>
        <w:noProof/>
      </w:rPr>
      <w:drawing>
        <wp:anchor distT="0" distB="0" distL="114300" distR="114300" simplePos="0" relativeHeight="251660288" behindDoc="0" locked="0" layoutInCell="1" hidden="0" allowOverlap="1" wp14:anchorId="55A39A89" wp14:editId="006C570F">
          <wp:simplePos x="0" y="0"/>
          <wp:positionH relativeFrom="column">
            <wp:posOffset>4952365</wp:posOffset>
          </wp:positionH>
          <wp:positionV relativeFrom="paragraph">
            <wp:posOffset>-49528</wp:posOffset>
          </wp:positionV>
          <wp:extent cx="1094740" cy="586740"/>
          <wp:effectExtent l="0" t="0" r="0" b="0"/>
          <wp:wrapNone/>
          <wp:docPr id="54" name="image2.png" descr="Un conjunto de letras negras en un fondo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Un conjunto de letras negras en un fondo negro&#10;&#10;Descripción generada automáticamente con confianza media"/>
                  <pic:cNvPicPr preferRelativeResize="0"/>
                </pic:nvPicPr>
                <pic:blipFill>
                  <a:blip r:embed="rId1"/>
                  <a:srcRect/>
                  <a:stretch>
                    <a:fillRect/>
                  </a:stretch>
                </pic:blipFill>
                <pic:spPr>
                  <a:xfrm>
                    <a:off x="0" y="0"/>
                    <a:ext cx="1094740" cy="5867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7549365" wp14:editId="62A76554">
          <wp:simplePos x="0" y="0"/>
          <wp:positionH relativeFrom="column">
            <wp:posOffset>3658234</wp:posOffset>
          </wp:positionH>
          <wp:positionV relativeFrom="paragraph">
            <wp:posOffset>-49528</wp:posOffset>
          </wp:positionV>
          <wp:extent cx="948690" cy="625475"/>
          <wp:effectExtent l="0" t="0" r="0" b="0"/>
          <wp:wrapNone/>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48690" cy="625475"/>
                  </a:xfrm>
                  <a:prstGeom prst="rect">
                    <a:avLst/>
                  </a:prstGeom>
                  <a:ln/>
                </pic:spPr>
              </pic:pic>
            </a:graphicData>
          </a:graphic>
        </wp:anchor>
      </w:drawing>
    </w:r>
  </w:p>
  <w:p w14:paraId="07B2BC87" w14:textId="77777777" w:rsidR="00807406" w:rsidRDefault="005C70CB">
    <w:pPr>
      <w:pBdr>
        <w:top w:val="nil"/>
        <w:left w:val="nil"/>
        <w:bottom w:val="nil"/>
        <w:right w:val="nil"/>
        <w:between w:val="nil"/>
      </w:pBdr>
      <w:spacing w:after="0" w:line="240" w:lineRule="auto"/>
      <w:ind w:left="-286"/>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14:paraId="6EF72B4E" w14:textId="77777777" w:rsidR="00807406" w:rsidRDefault="005C70CB">
    <w:pPr>
      <w:pBdr>
        <w:top w:val="nil"/>
        <w:left w:val="nil"/>
        <w:bottom w:val="nil"/>
        <w:right w:val="nil"/>
        <w:between w:val="nil"/>
      </w:pBdr>
      <w:spacing w:after="0" w:line="240" w:lineRule="auto"/>
      <w:ind w:left="-286"/>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14:paraId="1B454C3E" w14:textId="77777777" w:rsidR="00807406" w:rsidRDefault="00807406">
    <w:pPr>
      <w:pBdr>
        <w:top w:val="nil"/>
        <w:left w:val="nil"/>
        <w:bottom w:val="nil"/>
        <w:right w:val="nil"/>
        <w:between w:val="nil"/>
      </w:pBdr>
      <w:tabs>
        <w:tab w:val="center" w:pos="4252"/>
        <w:tab w:val="right" w:pos="8504"/>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055CC" w14:textId="77777777" w:rsidR="008A6BE8" w:rsidRDefault="008A6BE8">
      <w:pPr>
        <w:spacing w:after="0" w:line="240" w:lineRule="auto"/>
      </w:pPr>
      <w:r>
        <w:separator/>
      </w:r>
    </w:p>
  </w:footnote>
  <w:footnote w:type="continuationSeparator" w:id="0">
    <w:p w14:paraId="2B99F201" w14:textId="77777777" w:rsidR="008A6BE8" w:rsidRDefault="008A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BF7F" w14:textId="77777777" w:rsidR="00807406" w:rsidRDefault="005C70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bookmarkStart w:id="3" w:name="_heading=h.30j0zll" w:colFirst="0" w:colLast="0"/>
    <w:bookmarkEnd w:id="3"/>
    <w:r>
      <w:rPr>
        <w:noProof/>
      </w:rPr>
      <w:drawing>
        <wp:anchor distT="0" distB="0" distL="114300" distR="114300" simplePos="0" relativeHeight="251658240" behindDoc="0" locked="0" layoutInCell="1" hidden="0" allowOverlap="1" wp14:anchorId="68923A43" wp14:editId="4CD21054">
          <wp:simplePos x="0" y="0"/>
          <wp:positionH relativeFrom="column">
            <wp:posOffset>-594700</wp:posOffset>
          </wp:positionH>
          <wp:positionV relativeFrom="paragraph">
            <wp:posOffset>12488</wp:posOffset>
          </wp:positionV>
          <wp:extent cx="2104712" cy="418679"/>
          <wp:effectExtent l="0" t="0" r="0" b="0"/>
          <wp:wrapNone/>
          <wp:docPr id="51" name="image1.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Texto&#10;&#10;Descripción generada automáticamente"/>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1C952B7" wp14:editId="1376F50C">
          <wp:simplePos x="0" y="0"/>
          <wp:positionH relativeFrom="column">
            <wp:posOffset>4406265</wp:posOffset>
          </wp:positionH>
          <wp:positionV relativeFrom="paragraph">
            <wp:posOffset>12488</wp:posOffset>
          </wp:positionV>
          <wp:extent cx="1538824" cy="486272"/>
          <wp:effectExtent l="0" t="0" r="0" b="0"/>
          <wp:wrapNone/>
          <wp:docPr id="52" name="image3.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10;&#10;Descripción generada automáticamente"/>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14:paraId="2CAD4175" w14:textId="77777777" w:rsidR="00807406" w:rsidRDefault="0080740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p>
  <w:p w14:paraId="0DB4E293" w14:textId="77777777" w:rsidR="00807406" w:rsidRDefault="0080740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p>
  <w:p w14:paraId="6F64D64D" w14:textId="77777777" w:rsidR="00807406" w:rsidRDefault="00807406">
    <w:pPr>
      <w:pBdr>
        <w:top w:val="nil"/>
        <w:left w:val="nil"/>
        <w:bottom w:val="nil"/>
        <w:right w:val="nil"/>
        <w:between w:val="nil"/>
      </w:pBdr>
      <w:spacing w:after="0" w:line="240" w:lineRule="auto"/>
      <w:rPr>
        <w:rFonts w:ascii="Times New Roman" w:eastAsia="Times New Roman" w:hAnsi="Times New Roman" w:cs="Times New Roman"/>
        <w:color w:val="000000"/>
        <w:sz w:val="10"/>
        <w:szCs w:val="10"/>
      </w:rPr>
    </w:pPr>
  </w:p>
  <w:p w14:paraId="0A7E2AF5" w14:textId="77777777" w:rsidR="00807406" w:rsidRDefault="005C70CB">
    <w:pPr>
      <w:pBdr>
        <w:top w:val="nil"/>
        <w:left w:val="nil"/>
        <w:bottom w:val="nil"/>
        <w:right w:val="nil"/>
        <w:between w:val="nil"/>
      </w:pBdr>
      <w:spacing w:after="0" w:line="240" w:lineRule="auto"/>
      <w:ind w:left="-427"/>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2542AA89" w14:textId="77777777" w:rsidR="00807406" w:rsidRDefault="005C70CB">
    <w:pPr>
      <w:spacing w:after="0" w:line="240" w:lineRule="auto"/>
      <w:ind w:left="-427"/>
      <w:rPr>
        <w:rFonts w:ascii="Times New Roman" w:eastAsia="Times New Roman" w:hAnsi="Times New Roman" w:cs="Times New Roman"/>
        <w:sz w:val="14"/>
        <w:szCs w:val="14"/>
      </w:rPr>
    </w:pPr>
    <w:r>
      <w:rPr>
        <w:rFonts w:ascii="Arial" w:eastAsia="Arial" w:hAnsi="Arial" w:cs="Arial"/>
        <w:color w:val="202124"/>
        <w:sz w:val="14"/>
        <w:szCs w:val="14"/>
        <w:highlight w:val="white"/>
      </w:rPr>
      <w:t>“</w:t>
    </w:r>
    <w:r>
      <w:rPr>
        <w:rFonts w:ascii="Arial" w:eastAsia="Arial" w:hAnsi="Arial" w:cs="Arial"/>
        <w:color w:val="040C28"/>
        <w:sz w:val="14"/>
        <w:szCs w:val="14"/>
      </w:rPr>
      <w:t>Año del Bicentenario, de la consolidación de nuestra Independencia, y de la conmemoración de las heroicas batallas de Junín y Ayacucho</w:t>
    </w:r>
    <w:r>
      <w:rPr>
        <w:rFonts w:ascii="Arial" w:eastAsia="Arial" w:hAnsi="Arial" w:cs="Arial"/>
        <w:color w:val="202124"/>
        <w:sz w:val="14"/>
        <w:szCs w:val="14"/>
        <w:highlight w:val="white"/>
      </w:rPr>
      <w:t>”</w:t>
    </w:r>
  </w:p>
  <w:p w14:paraId="0994FFB9" w14:textId="77777777" w:rsidR="00807406" w:rsidRDefault="0080740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9729E"/>
    <w:multiLevelType w:val="multilevel"/>
    <w:tmpl w:val="F3687A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87A0236"/>
    <w:multiLevelType w:val="multilevel"/>
    <w:tmpl w:val="1F848A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D5F588E"/>
    <w:multiLevelType w:val="hybridMultilevel"/>
    <w:tmpl w:val="32FE830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06"/>
    <w:rsid w:val="005C70CB"/>
    <w:rsid w:val="00807406"/>
    <w:rsid w:val="00840C89"/>
    <w:rsid w:val="008A6BE8"/>
    <w:rsid w:val="00A60983"/>
    <w:rsid w:val="00C72D42"/>
    <w:rsid w:val="00ED47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D43F"/>
  <w15:docId w15:val="{C0253AE4-7AF1-40CC-B8D9-E4F8A7F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64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8B01BA"/>
    <w:pPr>
      <w:spacing w:after="0" w:line="240" w:lineRule="auto"/>
      <w:jc w:val="center"/>
    </w:pPr>
    <w:rPr>
      <w:rFonts w:ascii="Times New Roman" w:eastAsia="Times New Roman" w:hAnsi="Times New Roman" w:cs="Times New Roman"/>
      <w:b/>
      <w:sz w:val="24"/>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nhideWhenUsed/>
    <w:rsid w:val="00056AB6"/>
    <w:pPr>
      <w:tabs>
        <w:tab w:val="center" w:pos="4252"/>
        <w:tab w:val="right" w:pos="8504"/>
      </w:tabs>
      <w:spacing w:after="0" w:line="240" w:lineRule="auto"/>
    </w:pPr>
  </w:style>
  <w:style w:type="character" w:customStyle="1" w:styleId="EncabezadoCar">
    <w:name w:val="Encabezado Car"/>
    <w:basedOn w:val="Fuentedeprrafopredeter"/>
    <w:link w:val="Encabezado"/>
    <w:rsid w:val="00056AB6"/>
  </w:style>
  <w:style w:type="paragraph" w:styleId="Piedepgina">
    <w:name w:val="footer"/>
    <w:basedOn w:val="Normal"/>
    <w:link w:val="PiedepginaCar"/>
    <w:uiPriority w:val="99"/>
    <w:unhideWhenUsed/>
    <w:rsid w:val="00056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6AB6"/>
  </w:style>
  <w:style w:type="paragraph" w:styleId="Prrafodelista">
    <w:name w:val="List Paragraph"/>
    <w:aliases w:val="Fundamentacion,Lista 123,Viñeta normal,NIVEL ONE,Numeracion iniciativas,ASPECTOS GENERALES,Cuadro 2-1,Párrafo de lista2,Footnote,List Paragraph1,Numeración,Number List 1,List Paragraph-Thesis,N°,ESTILO2,Ha,Párrafo de lista1,Tit2_mmv"/>
    <w:basedOn w:val="Normal"/>
    <w:link w:val="PrrafodelistaCar"/>
    <w:uiPriority w:val="1"/>
    <w:qFormat/>
    <w:rsid w:val="00056AB6"/>
    <w:pPr>
      <w:ind w:left="720"/>
      <w:contextualSpacing/>
    </w:pPr>
  </w:style>
  <w:style w:type="table" w:styleId="Tablaconcuadrcula">
    <w:name w:val="Table Grid"/>
    <w:basedOn w:val="Tablanormal"/>
    <w:uiPriority w:val="39"/>
    <w:rsid w:val="00D9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D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7DF9"/>
    <w:rPr>
      <w:sz w:val="20"/>
      <w:szCs w:val="20"/>
    </w:rPr>
  </w:style>
  <w:style w:type="character" w:styleId="Refdenotaalpie">
    <w:name w:val="footnote reference"/>
    <w:basedOn w:val="Fuentedeprrafopredeter"/>
    <w:uiPriority w:val="99"/>
    <w:semiHidden/>
    <w:unhideWhenUsed/>
    <w:rsid w:val="00EB7DF9"/>
    <w:rPr>
      <w:vertAlign w:val="superscript"/>
    </w:rPr>
  </w:style>
  <w:style w:type="paragraph" w:styleId="Textodeglobo">
    <w:name w:val="Balloon Text"/>
    <w:basedOn w:val="Normal"/>
    <w:link w:val="TextodegloboCar"/>
    <w:uiPriority w:val="99"/>
    <w:semiHidden/>
    <w:unhideWhenUsed/>
    <w:rsid w:val="00D601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1C9"/>
    <w:rPr>
      <w:rFonts w:ascii="Segoe UI" w:hAnsi="Segoe UI" w:cs="Segoe UI"/>
      <w:sz w:val="18"/>
      <w:szCs w:val="18"/>
    </w:rPr>
  </w:style>
  <w:style w:type="character" w:customStyle="1" w:styleId="PrrafodelistaCar">
    <w:name w:val="Párrafo de lista Car"/>
    <w:aliases w:val="Fundamentacion Car,Lista 123 Car,Viñeta normal Car,NIVEL ONE Car,Numeracion iniciativas Car,ASPECTOS GENERALES Car,Cuadro 2-1 Car,Párrafo de lista2 Car,Footnote Car,List Paragraph1 Car,Numeración Car,Number List 1 Car,N° Car,Ha Car"/>
    <w:link w:val="Prrafodelista"/>
    <w:uiPriority w:val="34"/>
    <w:qFormat/>
    <w:locked/>
    <w:rsid w:val="002113AF"/>
  </w:style>
  <w:style w:type="character" w:styleId="Hipervnculo">
    <w:name w:val="Hyperlink"/>
    <w:basedOn w:val="Fuentedeprrafopredeter"/>
    <w:uiPriority w:val="99"/>
    <w:unhideWhenUsed/>
    <w:rsid w:val="00817F13"/>
    <w:rPr>
      <w:color w:val="0563C1" w:themeColor="hyperlink"/>
      <w:u w:val="single"/>
    </w:rPr>
  </w:style>
  <w:style w:type="character" w:customStyle="1" w:styleId="Mencinsinresolver1">
    <w:name w:val="Mención sin resolver1"/>
    <w:basedOn w:val="Fuentedeprrafopredeter"/>
    <w:uiPriority w:val="99"/>
    <w:semiHidden/>
    <w:unhideWhenUsed/>
    <w:rsid w:val="00013B12"/>
    <w:rPr>
      <w:color w:val="605E5C"/>
      <w:shd w:val="clear" w:color="auto" w:fill="E1DFDD"/>
    </w:rPr>
  </w:style>
  <w:style w:type="character" w:customStyle="1" w:styleId="TtuloCar">
    <w:name w:val="Título Car"/>
    <w:basedOn w:val="Fuentedeprrafopredeter"/>
    <w:link w:val="Ttulo"/>
    <w:uiPriority w:val="10"/>
    <w:rsid w:val="008B01BA"/>
    <w:rPr>
      <w:rFonts w:ascii="Times New Roman" w:eastAsia="Times New Roman" w:hAnsi="Times New Roman" w:cs="Times New Roman"/>
      <w:b/>
      <w:sz w:val="24"/>
      <w:szCs w:val="20"/>
      <w:lang w:val="es-ES" w:eastAsia="es-ES"/>
    </w:rPr>
  </w:style>
  <w:style w:type="table" w:customStyle="1" w:styleId="Tabladelista31">
    <w:name w:val="Tabla de lista 31"/>
    <w:basedOn w:val="Tablanormal"/>
    <w:uiPriority w:val="48"/>
    <w:rsid w:val="000A01B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Mencinsinresolver2">
    <w:name w:val="Mención sin resolver2"/>
    <w:basedOn w:val="Fuentedeprrafopredeter"/>
    <w:uiPriority w:val="99"/>
    <w:semiHidden/>
    <w:unhideWhenUsed/>
    <w:rsid w:val="00AC74D7"/>
    <w:rPr>
      <w:color w:val="605E5C"/>
      <w:shd w:val="clear" w:color="auto" w:fill="E1DFDD"/>
    </w:rPr>
  </w:style>
  <w:style w:type="paragraph" w:styleId="Sinespaciado">
    <w:name w:val="No Spacing"/>
    <w:uiPriority w:val="1"/>
    <w:qFormat/>
    <w:rsid w:val="0017640B"/>
    <w:pPr>
      <w:spacing w:after="0" w:line="240" w:lineRule="auto"/>
    </w:pPr>
    <w:rPr>
      <w:rFonts w:ascii="Arial" w:hAnsi="Arial"/>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sinformato">
    <w:name w:val="Plain Text"/>
    <w:basedOn w:val="Normal"/>
    <w:link w:val="TextosinformatoCar"/>
    <w:uiPriority w:val="99"/>
    <w:unhideWhenUsed/>
    <w:rsid w:val="0007496D"/>
    <w:pPr>
      <w:spacing w:after="0" w:line="240" w:lineRule="auto"/>
    </w:pPr>
    <w:rPr>
      <w:rFonts w:eastAsia="SimSun" w:cs="Consolas"/>
      <w:szCs w:val="21"/>
      <w:lang w:eastAsia="en-US"/>
    </w:rPr>
  </w:style>
  <w:style w:type="character" w:customStyle="1" w:styleId="TextosinformatoCar">
    <w:name w:val="Texto sin formato Car"/>
    <w:basedOn w:val="Fuentedeprrafopredeter"/>
    <w:link w:val="Textosinformato"/>
    <w:uiPriority w:val="99"/>
    <w:rsid w:val="0007496D"/>
    <w:rPr>
      <w:rFonts w:eastAsia="SimSun"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app02.sanipes.gob.pe%3A8089%2FPublico%2FConsulta_protocolos_embarcacion_pesca&amp;data=05%7C02%7C%7C82869288c6d74774f57308dc58adf7db%7C34599e56cf6e4f1883d838bf2520eeaf%7C0%7C0%7C638482751426410562%7CUnknown%7CTWFpbGZsb3d8eyJWIjoiMC4wLjAwMDAiLCJQIjoiV2luMzIiLCJBTiI6Ik1haWwiLCJXVCI6Mn0%3D%7C0%7C%7C%7C&amp;sdata=5xHxQ0A%2B%2FJrICre6x12N3AfSu%2FzPWBX4vGPu0jOA58M%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v3rwOJGPvNgaR14bAS5VtvOtmg==">CgMxLjAyCGguZ2pkZ3hzMgloLjJldDkycDAyCWguMzBqMHpsbDIJaC4xZm9iOXRlOAByITFkSUpORkU3dVJqRHN2N3ZkeURadm1sT3pfdFRlNEh6Sg==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Herless Cortazar La Rosa</dc:creator>
  <cp:lastModifiedBy>Usuario de Microsoft Office</cp:lastModifiedBy>
  <cp:revision>4</cp:revision>
  <dcterms:created xsi:type="dcterms:W3CDTF">2024-04-09T21:01:00Z</dcterms:created>
  <dcterms:modified xsi:type="dcterms:W3CDTF">2024-04-10T14:22:00Z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0x010100C68FB90D59758C41BEE909E3FFEC3C69</vt:lpwstr>
  </property>
</Properties>
</file>