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81" w:rsidRDefault="00583A81" w:rsidP="00583A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3A81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583A81" w:rsidRPr="006F381A" w:rsidRDefault="006F381A" w:rsidP="00583A8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F381A">
        <w:rPr>
          <w:rFonts w:ascii="Arial" w:hAnsi="Arial" w:cs="Arial"/>
          <w:b/>
          <w:sz w:val="32"/>
          <w:szCs w:val="32"/>
        </w:rPr>
        <w:t>PRODUCE establece en 499 683 toneladas la cuota del recurso pota para el año 2024</w:t>
      </w:r>
    </w:p>
    <w:bookmarkEnd w:id="0"/>
    <w:p w:rsidR="00393627" w:rsidRPr="00393627" w:rsidRDefault="00393627" w:rsidP="003936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393627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Las actividades extractivas concluirán el 31 de diciembre de 2024 o </w:t>
      </w:r>
      <w:r w:rsidRPr="006F381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 el IMARPE lo recomiende por circunstancias ambientales o biológicas</w:t>
      </w:r>
      <w:r w:rsidRPr="00393627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</w:p>
    <w:p w:rsidR="00393627" w:rsidRPr="00393627" w:rsidRDefault="00393627" w:rsidP="003936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>El Ministerio de la Producción (PRODUCE) estableció la cuota de captura del recurso calamar gigante o pota (</w:t>
      </w:r>
      <w:proofErr w:type="spellStart"/>
      <w:r w:rsidRPr="00175779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PE"/>
        </w:rPr>
        <w:t>Dosidicus</w:t>
      </w:r>
      <w:proofErr w:type="spellEnd"/>
      <w:r w:rsidRPr="00175779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PE"/>
        </w:rPr>
        <w:t xml:space="preserve"> gigas</w:t>
      </w: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>) para el año 2024 en 499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 xml:space="preserve"> </w:t>
      </w: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>683 toneladas, según la recomendación del Instituto del Mar del Perú (IMARPE). Esta decisión se basa en un punto de referencia biológico que asegura la sostenibilidad del recurso y beneficia a miles de familias que dependen de esta pesquería.</w:t>
      </w: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</w:p>
    <w:p w:rsid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 xml:space="preserve">De acuerdo a la Resolución Ministerial Nº 000222-2024-PRODUCE, publicada en el diario El Peruano, la cuota de captura puede ser modificada en función a la evolución de factores biológicos, pesqueros, ambientales y por disponibilidad del recurso, previa recomendación del IMARPE. </w:t>
      </w:r>
    </w:p>
    <w:p w:rsid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>Asimismo, PRODUCE concluye las actividades extractivas del recurso calamar gigante o pota cuando se alcance o se estime alcanzar la cuota de captura; cuando el IMARPE lo recomiende por circunstancias ambientales o biológicas o, en su defecto, las mismas concluirán el 31 de diciembre de 2024.</w:t>
      </w: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Conservación y sostenibilidad</w:t>
      </w:r>
    </w:p>
    <w:p w:rsid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 xml:space="preserve">Por otro lado, PRODUCE ha aprobado medidas de conservación y ordenamiento para la actividad extractiva en la zona de alta mar para proteger el calamar gigante. </w:t>
      </w:r>
    </w:p>
    <w:p w:rsid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>Las embarcaciones pesqueras artesanales peruanas, registradas ante la Organización Regional de Ordenamiento Pesquero del Pacífico Sur (OROP-PS) y con una eslora no mayor a quince metros, deberán entregar el formato de registro de captura y esfuerzo artesanal a los profesionales del IMARPE en los puntos de desembarque autorizados. Esto garantiza un monitoreo preciso de las capturas y un uso sostenible del recurso.</w:t>
      </w: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</w:p>
    <w:p w:rsid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Impacto positivo para el sector pesquero</w:t>
      </w:r>
    </w:p>
    <w:p w:rsidR="00674274" w:rsidRPr="00175779" w:rsidRDefault="00674274" w:rsidP="001757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:rsidR="00175779" w:rsidRPr="00175779" w:rsidRDefault="00674274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>“</w:t>
      </w:r>
      <w:r w:rsidR="00175779"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>Estas acciones no solo buscan la preservación del recurso, sino que también promueven una pesca responsable y equitativa, fomentando la estabilidad económica de las comunidades pesqueras. La cuota establecida responde a una evaluación científica rigurosa y refleja el compromiso de PRODUCE con la sostenibilidad y la conse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 xml:space="preserve">rvación de los recursos marinos”, señaló el ministro de la Producción, Sergio González Guerrero. </w:t>
      </w:r>
    </w:p>
    <w:p w:rsidR="00175779" w:rsidRP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</w:p>
    <w:p w:rsid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t xml:space="preserve">La pesca de pota no solo representa una fuente vital de alimento y empleo para miles de peruanos, sino que también impulsa el desarrollo económico de las comunidades costeras. Al establecer una cuota sostenible, PRODUCE está </w:t>
      </w:r>
      <w:r w:rsidRPr="00175779"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  <w:lastRenderedPageBreak/>
        <w:t>asegurando que este recurso continúe siendo un pilar de la economía local, generando ingresos, empleos directos e indirectos, y mejorando la calidad de vida de los pescadores y sus familias. Este esfuerzo conjunto entre el gobierno y la comunidad pesquera refuerza el compromiso del país con una pesca responsable y equitativa, garantizando un futuro próspero y sostenible para todos.</w:t>
      </w:r>
    </w:p>
    <w:p w:rsidR="00175779" w:rsidRDefault="00175779" w:rsidP="00175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PE"/>
        </w:rPr>
      </w:pPr>
    </w:p>
    <w:p w:rsidR="00175779" w:rsidRPr="00175779" w:rsidRDefault="00175779" w:rsidP="0017577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 w:rsidRPr="001757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Lima, 29 de mayo de 2024</w:t>
      </w:r>
    </w:p>
    <w:sectPr w:rsidR="00175779" w:rsidRPr="001757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46" w:rsidRDefault="00017F46" w:rsidP="00583A81">
      <w:pPr>
        <w:spacing w:after="0" w:line="240" w:lineRule="auto"/>
      </w:pPr>
      <w:r>
        <w:separator/>
      </w:r>
    </w:p>
  </w:endnote>
  <w:endnote w:type="continuationSeparator" w:id="0">
    <w:p w:rsidR="00017F46" w:rsidRDefault="00017F46" w:rsidP="0058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46" w:rsidRDefault="00017F46" w:rsidP="00583A81">
      <w:pPr>
        <w:spacing w:after="0" w:line="240" w:lineRule="auto"/>
      </w:pPr>
      <w:r>
        <w:separator/>
      </w:r>
    </w:p>
  </w:footnote>
  <w:footnote w:type="continuationSeparator" w:id="0">
    <w:p w:rsidR="00017F46" w:rsidRDefault="00017F46" w:rsidP="0058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1" w:rsidRDefault="00583A8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701480" wp14:editId="67CF6B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71700" cy="441960"/>
          <wp:effectExtent l="0" t="0" r="0" b="0"/>
          <wp:wrapNone/>
          <wp:docPr id="1519937693" name="Imagen 151993769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CE3"/>
    <w:multiLevelType w:val="hybridMultilevel"/>
    <w:tmpl w:val="8B384F4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5C37"/>
    <w:multiLevelType w:val="hybridMultilevel"/>
    <w:tmpl w:val="B852B7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35663"/>
    <w:multiLevelType w:val="hybridMultilevel"/>
    <w:tmpl w:val="C260694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F1"/>
    <w:rsid w:val="00017F46"/>
    <w:rsid w:val="00175779"/>
    <w:rsid w:val="001C7D2B"/>
    <w:rsid w:val="00393627"/>
    <w:rsid w:val="003F06F1"/>
    <w:rsid w:val="00583A81"/>
    <w:rsid w:val="00594EFE"/>
    <w:rsid w:val="00674274"/>
    <w:rsid w:val="006F381A"/>
    <w:rsid w:val="00710EC8"/>
    <w:rsid w:val="00950E45"/>
    <w:rsid w:val="00970065"/>
    <w:rsid w:val="009D0ECC"/>
    <w:rsid w:val="00B47FF4"/>
    <w:rsid w:val="00CE65A5"/>
    <w:rsid w:val="00D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4B78B"/>
  <w15:chartTrackingRefBased/>
  <w15:docId w15:val="{561551B9-CCC6-4CCE-A017-4638AFD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27"/>
  </w:style>
  <w:style w:type="paragraph" w:styleId="Ttulo2">
    <w:name w:val="heading 2"/>
    <w:basedOn w:val="Normal"/>
    <w:link w:val="Ttulo2Car"/>
    <w:uiPriority w:val="9"/>
    <w:qFormat/>
    <w:rsid w:val="006F3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A81"/>
  </w:style>
  <w:style w:type="paragraph" w:styleId="Piedepgina">
    <w:name w:val="footer"/>
    <w:basedOn w:val="Normal"/>
    <w:link w:val="PiedepginaCar"/>
    <w:uiPriority w:val="99"/>
    <w:unhideWhenUsed/>
    <w:rsid w:val="00583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A81"/>
  </w:style>
  <w:style w:type="character" w:customStyle="1" w:styleId="Ttulo2Car">
    <w:name w:val="Título 2 Car"/>
    <w:basedOn w:val="Fuentedeprrafopredeter"/>
    <w:link w:val="Ttulo2"/>
    <w:uiPriority w:val="9"/>
    <w:rsid w:val="006F381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customStyle="1" w:styleId="cuerpo">
    <w:name w:val="cuerpo"/>
    <w:basedOn w:val="Normal"/>
    <w:rsid w:val="006F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2">
    <w:name w:val="no-style-override-2"/>
    <w:basedOn w:val="Fuentedeprrafopredeter"/>
    <w:rsid w:val="006F381A"/>
  </w:style>
  <w:style w:type="character" w:customStyle="1" w:styleId="no-style-override">
    <w:name w:val="no-style-override"/>
    <w:basedOn w:val="Fuentedeprrafopredeter"/>
    <w:rsid w:val="006F381A"/>
  </w:style>
  <w:style w:type="character" w:customStyle="1" w:styleId="no-style-override-1">
    <w:name w:val="no-style-override-1"/>
    <w:basedOn w:val="Fuentedeprrafopredeter"/>
    <w:rsid w:val="006F381A"/>
  </w:style>
  <w:style w:type="character" w:customStyle="1" w:styleId="no-style-override-3">
    <w:name w:val="no-style-override-3"/>
    <w:basedOn w:val="Fuentedeprrafopredeter"/>
    <w:rsid w:val="006F381A"/>
  </w:style>
  <w:style w:type="paragraph" w:styleId="Prrafodelista">
    <w:name w:val="List Paragraph"/>
    <w:basedOn w:val="Normal"/>
    <w:uiPriority w:val="34"/>
    <w:qFormat/>
    <w:rsid w:val="006F381A"/>
    <w:pPr>
      <w:ind w:left="720"/>
      <w:contextualSpacing/>
    </w:pPr>
  </w:style>
  <w:style w:type="paragraph" w:styleId="Sinespaciado">
    <w:name w:val="No Spacing"/>
    <w:uiPriority w:val="1"/>
    <w:qFormat/>
    <w:rsid w:val="00393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Jaruska Natally Victoria Saravia Guzman - O/S</cp:lastModifiedBy>
  <cp:revision>2</cp:revision>
  <dcterms:created xsi:type="dcterms:W3CDTF">2024-05-29T17:46:00Z</dcterms:created>
  <dcterms:modified xsi:type="dcterms:W3CDTF">2024-05-29T17:46:00Z</dcterms:modified>
</cp:coreProperties>
</file>