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162" w:rsidRDefault="00135162">
      <w:pPr>
        <w:pBdr>
          <w:top w:val="nil"/>
          <w:left w:val="nil"/>
          <w:bottom w:val="nil"/>
          <w:right w:val="nil"/>
          <w:between w:val="nil"/>
        </w:pBdr>
        <w:spacing w:after="0" w:line="240" w:lineRule="auto"/>
        <w:jc w:val="center"/>
        <w:rPr>
          <w:rFonts w:ascii="Arial" w:eastAsia="Arial" w:hAnsi="Arial" w:cs="Arial"/>
          <w:color w:val="000000"/>
          <w:sz w:val="24"/>
          <w:szCs w:val="24"/>
        </w:rPr>
      </w:pPr>
    </w:p>
    <w:p w:rsidR="00135162" w:rsidRDefault="003945B8">
      <w:pPr>
        <w:pBdr>
          <w:top w:val="nil"/>
          <w:left w:val="nil"/>
          <w:bottom w:val="nil"/>
          <w:right w:val="nil"/>
          <w:between w:val="nil"/>
        </w:pBdr>
        <w:spacing w:after="0" w:line="240" w:lineRule="auto"/>
        <w:jc w:val="center"/>
        <w:rPr>
          <w:rFonts w:ascii="Arial" w:eastAsia="Arial" w:hAnsi="Arial" w:cs="Arial"/>
          <w:b/>
          <w:color w:val="000000"/>
          <w:u w:val="single"/>
        </w:rPr>
      </w:pPr>
      <w:r>
        <w:rPr>
          <w:rFonts w:ascii="Arial" w:eastAsia="Arial" w:hAnsi="Arial" w:cs="Arial"/>
          <w:b/>
          <w:color w:val="000000"/>
          <w:u w:val="single"/>
        </w:rPr>
        <w:t>NOTA DE PRENSA</w:t>
      </w:r>
    </w:p>
    <w:p w:rsidR="00135162" w:rsidRDefault="00135162">
      <w:pPr>
        <w:pBdr>
          <w:top w:val="nil"/>
          <w:left w:val="nil"/>
          <w:bottom w:val="nil"/>
          <w:right w:val="nil"/>
          <w:between w:val="nil"/>
        </w:pBdr>
        <w:spacing w:after="0" w:line="240" w:lineRule="auto"/>
        <w:jc w:val="center"/>
        <w:rPr>
          <w:rFonts w:ascii="Arial" w:eastAsia="Arial" w:hAnsi="Arial" w:cs="Arial"/>
          <w:b/>
          <w:color w:val="000000"/>
          <w:sz w:val="10"/>
          <w:szCs w:val="10"/>
          <w:u w:val="single"/>
        </w:rPr>
      </w:pPr>
    </w:p>
    <w:p w:rsidR="00135162" w:rsidRDefault="003945B8">
      <w:pPr>
        <w:jc w:val="center"/>
        <w:rPr>
          <w:rFonts w:ascii="Arial" w:eastAsia="Arial" w:hAnsi="Arial" w:cs="Arial"/>
          <w:b/>
          <w:color w:val="000000"/>
          <w:sz w:val="26"/>
          <w:szCs w:val="26"/>
        </w:rPr>
      </w:pPr>
      <w:r>
        <w:rPr>
          <w:rFonts w:ascii="Arial" w:eastAsia="Arial" w:hAnsi="Arial" w:cs="Arial"/>
          <w:b/>
          <w:sz w:val="26"/>
          <w:szCs w:val="26"/>
        </w:rPr>
        <w:t>PRODUCE</w:t>
      </w:r>
      <w:r>
        <w:rPr>
          <w:rFonts w:ascii="Arial" w:eastAsia="Arial" w:hAnsi="Arial" w:cs="Arial"/>
          <w:b/>
          <w:color w:val="000000"/>
          <w:sz w:val="26"/>
          <w:szCs w:val="26"/>
        </w:rPr>
        <w:t xml:space="preserve"> fortalec</w:t>
      </w:r>
      <w:r>
        <w:rPr>
          <w:rFonts w:ascii="Arial" w:eastAsia="Arial" w:hAnsi="Arial" w:cs="Arial"/>
          <w:b/>
          <w:sz w:val="26"/>
          <w:szCs w:val="26"/>
        </w:rPr>
        <w:t>e</w:t>
      </w:r>
      <w:r>
        <w:rPr>
          <w:rFonts w:ascii="Arial" w:eastAsia="Arial" w:hAnsi="Arial" w:cs="Arial"/>
          <w:b/>
          <w:color w:val="000000"/>
          <w:sz w:val="26"/>
          <w:szCs w:val="26"/>
        </w:rPr>
        <w:t xml:space="preserve"> en Huánuco las capacidades en gestión sanitaria de 60 productores acuícolas y de profesionales de </w:t>
      </w:r>
      <w:proofErr w:type="spellStart"/>
      <w:r>
        <w:rPr>
          <w:rFonts w:ascii="Arial" w:eastAsia="Arial" w:hAnsi="Arial" w:cs="Arial"/>
          <w:b/>
          <w:color w:val="000000"/>
          <w:sz w:val="26"/>
          <w:szCs w:val="26"/>
        </w:rPr>
        <w:t>Devida</w:t>
      </w:r>
      <w:proofErr w:type="spellEnd"/>
    </w:p>
    <w:p w:rsidR="00135162" w:rsidRDefault="003945B8">
      <w:pPr>
        <w:numPr>
          <w:ilvl w:val="0"/>
          <w:numId w:val="1"/>
        </w:numPr>
        <w:pBdr>
          <w:top w:val="nil"/>
          <w:left w:val="nil"/>
          <w:bottom w:val="nil"/>
          <w:right w:val="nil"/>
          <w:between w:val="nil"/>
        </w:pBdr>
        <w:jc w:val="both"/>
        <w:rPr>
          <w:color w:val="000000"/>
        </w:rPr>
      </w:pPr>
      <w:r>
        <w:rPr>
          <w:rFonts w:ascii="Arial" w:eastAsia="Arial" w:hAnsi="Arial" w:cs="Arial"/>
          <w:i/>
          <w:color w:val="000000"/>
        </w:rPr>
        <w:t xml:space="preserve">Al término del convenio entre </w:t>
      </w:r>
      <w:proofErr w:type="spellStart"/>
      <w:r>
        <w:rPr>
          <w:rFonts w:ascii="Arial" w:eastAsia="Arial" w:hAnsi="Arial" w:cs="Arial"/>
          <w:i/>
          <w:color w:val="000000"/>
        </w:rPr>
        <w:t>Sanipes</w:t>
      </w:r>
      <w:proofErr w:type="spellEnd"/>
      <w:r>
        <w:rPr>
          <w:rFonts w:ascii="Arial" w:eastAsia="Arial" w:hAnsi="Arial" w:cs="Arial"/>
          <w:i/>
          <w:color w:val="000000"/>
        </w:rPr>
        <w:t xml:space="preserve"> y </w:t>
      </w:r>
      <w:proofErr w:type="spellStart"/>
      <w:r>
        <w:rPr>
          <w:rFonts w:ascii="Arial" w:eastAsia="Arial" w:hAnsi="Arial" w:cs="Arial"/>
          <w:i/>
          <w:color w:val="000000"/>
        </w:rPr>
        <w:t>Devida</w:t>
      </w:r>
      <w:proofErr w:type="spellEnd"/>
      <w:r>
        <w:rPr>
          <w:rFonts w:ascii="Arial" w:eastAsia="Arial" w:hAnsi="Arial" w:cs="Arial"/>
          <w:i/>
          <w:color w:val="000000"/>
        </w:rPr>
        <w:t xml:space="preserve">, habrá 542 centros en la categoría AREL fortalecidos y 57 centros en la categoría AMYPE habilitados sanitariamente. </w:t>
      </w:r>
      <w:r>
        <w:rPr>
          <w:rFonts w:ascii="Arial" w:eastAsia="Arial" w:hAnsi="Arial" w:cs="Arial"/>
          <w:color w:val="000000"/>
        </w:rPr>
        <w:t> </w:t>
      </w:r>
    </w:p>
    <w:p w:rsidR="00135162" w:rsidRDefault="003945B8">
      <w:pPr>
        <w:jc w:val="both"/>
        <w:rPr>
          <w:rFonts w:ascii="Arial" w:eastAsia="Arial" w:hAnsi="Arial" w:cs="Arial"/>
          <w:color w:val="000000"/>
        </w:rPr>
      </w:pPr>
      <w:r>
        <w:rPr>
          <w:rFonts w:ascii="Arial" w:eastAsia="Arial" w:hAnsi="Arial" w:cs="Arial"/>
          <w:color w:val="000000"/>
        </w:rPr>
        <w:t>El Organismo Nacional de Sanidad Pesquera (</w:t>
      </w:r>
      <w:proofErr w:type="spellStart"/>
      <w:r>
        <w:rPr>
          <w:rFonts w:ascii="Arial" w:eastAsia="Arial" w:hAnsi="Arial" w:cs="Arial"/>
          <w:color w:val="000000"/>
        </w:rPr>
        <w:t>Sanipes</w:t>
      </w:r>
      <w:proofErr w:type="spellEnd"/>
      <w:r>
        <w:rPr>
          <w:rFonts w:ascii="Arial" w:eastAsia="Arial" w:hAnsi="Arial" w:cs="Arial"/>
          <w:color w:val="000000"/>
        </w:rPr>
        <w:t>), entidad adscrita al Ministerio de la Producción (Produce), capacitó en Huánuco a 60 productores acuícolas y a profesionales de la Comisión Nacional para el Desarrollo y Vida sin Drogas (</w:t>
      </w:r>
      <w:proofErr w:type="spellStart"/>
      <w:r>
        <w:rPr>
          <w:rFonts w:ascii="Arial" w:eastAsia="Arial" w:hAnsi="Arial" w:cs="Arial"/>
          <w:color w:val="000000"/>
        </w:rPr>
        <w:t>Devida</w:t>
      </w:r>
      <w:proofErr w:type="spellEnd"/>
      <w:r>
        <w:rPr>
          <w:rFonts w:ascii="Arial" w:eastAsia="Arial" w:hAnsi="Arial" w:cs="Arial"/>
          <w:color w:val="000000"/>
        </w:rPr>
        <w:t>) en la ges</w:t>
      </w:r>
      <w:r>
        <w:rPr>
          <w:rFonts w:ascii="Arial" w:eastAsia="Arial" w:hAnsi="Arial" w:cs="Arial"/>
          <w:color w:val="000000"/>
        </w:rPr>
        <w:t xml:space="preserve">tión sanitaria de centros de producción acuícola en las Zonas Estratégicas de Intervención (ZEI). Esta actividad permitió fomentar la habilitación sanitaria de los centros de producción acuícola, lo cual garantiza la sanidad e inocuidad de los productos a </w:t>
      </w:r>
      <w:r>
        <w:rPr>
          <w:rFonts w:ascii="Arial" w:eastAsia="Arial" w:hAnsi="Arial" w:cs="Arial"/>
          <w:color w:val="000000"/>
        </w:rPr>
        <w:t>extraerse.</w:t>
      </w:r>
    </w:p>
    <w:p w:rsidR="00135162" w:rsidRDefault="003945B8">
      <w:pPr>
        <w:jc w:val="both"/>
        <w:rPr>
          <w:rFonts w:ascii="Arial" w:eastAsia="Arial" w:hAnsi="Arial" w:cs="Arial"/>
          <w:color w:val="000000"/>
        </w:rPr>
      </w:pPr>
      <w:r>
        <w:rPr>
          <w:rFonts w:ascii="Arial" w:eastAsia="Arial" w:hAnsi="Arial" w:cs="Arial"/>
          <w:color w:val="000000"/>
        </w:rPr>
        <w:t>Durante el taller, </w:t>
      </w:r>
      <w:proofErr w:type="spellStart"/>
      <w:r>
        <w:rPr>
          <w:rFonts w:ascii="Arial" w:eastAsia="Arial" w:hAnsi="Arial" w:cs="Arial"/>
          <w:color w:val="000000"/>
        </w:rPr>
        <w:t>Sanipes</w:t>
      </w:r>
      <w:proofErr w:type="spellEnd"/>
      <w:r>
        <w:rPr>
          <w:rFonts w:ascii="Arial" w:eastAsia="Arial" w:hAnsi="Arial" w:cs="Arial"/>
          <w:color w:val="000000"/>
        </w:rPr>
        <w:t xml:space="preserve"> reforzó las capacidades de los participantes sobre los requisitos para la habilitación sanitaria, la elaboración de plano y memoria descriptiva, los requerimientos sanitarios para los centros de producción acuícola y l</w:t>
      </w:r>
      <w:r>
        <w:rPr>
          <w:rFonts w:ascii="Arial" w:eastAsia="Arial" w:hAnsi="Arial" w:cs="Arial"/>
          <w:color w:val="000000"/>
        </w:rPr>
        <w:t>a elaboración de manuales en buenas prácticas acuícolas e higiene y saneamiento.</w:t>
      </w:r>
    </w:p>
    <w:p w:rsidR="00135162" w:rsidRDefault="003945B8">
      <w:pPr>
        <w:jc w:val="both"/>
        <w:rPr>
          <w:rFonts w:ascii="Arial" w:eastAsia="Arial" w:hAnsi="Arial" w:cs="Arial"/>
          <w:color w:val="000000"/>
        </w:rPr>
      </w:pPr>
      <w:r>
        <w:rPr>
          <w:rFonts w:ascii="Arial" w:eastAsia="Arial" w:hAnsi="Arial" w:cs="Arial"/>
          <w:color w:val="000000"/>
        </w:rPr>
        <w:t xml:space="preserve">El evento se desarrolló como parte del Convenio Marco de Cooperación entre </w:t>
      </w:r>
      <w:proofErr w:type="spellStart"/>
      <w:r>
        <w:rPr>
          <w:rFonts w:ascii="Arial" w:eastAsia="Arial" w:hAnsi="Arial" w:cs="Arial"/>
          <w:color w:val="000000"/>
        </w:rPr>
        <w:t>Devida</w:t>
      </w:r>
      <w:proofErr w:type="spellEnd"/>
      <w:r>
        <w:rPr>
          <w:rFonts w:ascii="Arial" w:eastAsia="Arial" w:hAnsi="Arial" w:cs="Arial"/>
          <w:color w:val="000000"/>
        </w:rPr>
        <w:t xml:space="preserve"> y </w:t>
      </w:r>
      <w:proofErr w:type="spellStart"/>
      <w:r>
        <w:rPr>
          <w:rFonts w:ascii="Arial" w:eastAsia="Arial" w:hAnsi="Arial" w:cs="Arial"/>
          <w:color w:val="000000"/>
        </w:rPr>
        <w:t>Sanipes</w:t>
      </w:r>
      <w:proofErr w:type="spellEnd"/>
      <w:r>
        <w:rPr>
          <w:rFonts w:ascii="Arial" w:eastAsia="Arial" w:hAnsi="Arial" w:cs="Arial"/>
          <w:color w:val="000000"/>
        </w:rPr>
        <w:t xml:space="preserve">. Se estima que, al término de este acuerdo, habrá 542 centros en la categoría AREL </w:t>
      </w:r>
      <w:r>
        <w:rPr>
          <w:rFonts w:ascii="Arial" w:eastAsia="Arial" w:hAnsi="Arial" w:cs="Arial"/>
          <w:color w:val="000000"/>
        </w:rPr>
        <w:t>(Acuicultura de Recursos Limitados) fortalecidos en el manejo sanitario y 57 centros en la categoría AMYPE (Acuicultura de Micro y Pequeña Empresa) habilitados sanitariamente. </w:t>
      </w:r>
    </w:p>
    <w:p w:rsidR="00135162" w:rsidRDefault="003945B8">
      <w:pPr>
        <w:jc w:val="both"/>
        <w:rPr>
          <w:rFonts w:ascii="Arial" w:eastAsia="Arial" w:hAnsi="Arial" w:cs="Arial"/>
          <w:color w:val="000000"/>
        </w:rPr>
      </w:pPr>
      <w:r>
        <w:rPr>
          <w:rFonts w:ascii="Arial" w:eastAsia="Arial" w:hAnsi="Arial" w:cs="Arial"/>
          <w:color w:val="000000"/>
        </w:rPr>
        <w:t>Los centros de producción acuícola en las categorías AMYPE y AMYGE en el Perú s</w:t>
      </w:r>
      <w:r>
        <w:rPr>
          <w:rFonts w:ascii="Arial" w:eastAsia="Arial" w:hAnsi="Arial" w:cs="Arial"/>
          <w:color w:val="000000"/>
        </w:rPr>
        <w:t>uman 3162 con derecho otorgado hasta la fecha. En los últimos 10 años</w:t>
      </w:r>
      <w:r w:rsidR="003D0948">
        <w:rPr>
          <w:rFonts w:ascii="Arial" w:eastAsia="Arial" w:hAnsi="Arial" w:cs="Arial"/>
          <w:color w:val="000000"/>
        </w:rPr>
        <w:t>,</w:t>
      </w:r>
      <w:r>
        <w:rPr>
          <w:rFonts w:ascii="Arial" w:eastAsia="Arial" w:hAnsi="Arial" w:cs="Arial"/>
          <w:color w:val="000000"/>
        </w:rPr>
        <w:t xml:space="preserve"> hubo un crecimiento exponencial de la actividad acuícola, por lo que actualmente se tiene una brecha de alrededor del 75% a nivel nacional. </w:t>
      </w:r>
    </w:p>
    <w:p w:rsidR="00135162" w:rsidRDefault="003945B8">
      <w:pPr>
        <w:jc w:val="both"/>
        <w:rPr>
          <w:rFonts w:ascii="Arial" w:eastAsia="Arial" w:hAnsi="Arial" w:cs="Arial"/>
          <w:b/>
          <w:color w:val="000000"/>
        </w:rPr>
      </w:pPr>
      <w:bookmarkStart w:id="0" w:name="_gjdgxs" w:colFirst="0" w:colLast="0"/>
      <w:bookmarkEnd w:id="0"/>
      <w:r>
        <w:rPr>
          <w:rFonts w:ascii="Arial" w:eastAsia="Arial" w:hAnsi="Arial" w:cs="Arial"/>
          <w:b/>
          <w:color w:val="000000"/>
        </w:rPr>
        <w:t xml:space="preserve">Sobre las Zonas Estratégicas de Intervención </w:t>
      </w:r>
      <w:r>
        <w:rPr>
          <w:rFonts w:ascii="Arial" w:eastAsia="Arial" w:hAnsi="Arial" w:cs="Arial"/>
          <w:b/>
          <w:color w:val="000000"/>
        </w:rPr>
        <w:t>(ZEI) </w:t>
      </w:r>
    </w:p>
    <w:p w:rsidR="00135162" w:rsidRDefault="003945B8">
      <w:pPr>
        <w:jc w:val="both"/>
        <w:rPr>
          <w:rFonts w:ascii="Arial" w:eastAsia="Arial" w:hAnsi="Arial" w:cs="Arial"/>
          <w:color w:val="000000"/>
        </w:rPr>
      </w:pPr>
      <w:r>
        <w:rPr>
          <w:rFonts w:ascii="Arial" w:eastAsia="Arial" w:hAnsi="Arial" w:cs="Arial"/>
          <w:color w:val="000000"/>
        </w:rPr>
        <w:t>Son áreas geográficas que están apostando por los cultivos alternativos en reemplazo de los cultivos ilícitos y del comercio ilícito de drogas. </w:t>
      </w:r>
    </w:p>
    <w:p w:rsidR="00135162" w:rsidRDefault="003945B8">
      <w:pPr>
        <w:jc w:val="both"/>
        <w:rPr>
          <w:rFonts w:ascii="Arial" w:eastAsia="Arial" w:hAnsi="Arial" w:cs="Arial"/>
          <w:b/>
          <w:color w:val="000000"/>
          <w:u w:val="single"/>
        </w:rPr>
      </w:pPr>
      <w:r>
        <w:rPr>
          <w:rFonts w:ascii="Arial" w:eastAsia="Arial" w:hAnsi="Arial" w:cs="Arial"/>
          <w:b/>
          <w:color w:val="000000"/>
          <w:u w:val="single"/>
        </w:rPr>
        <w:t>DATO</w:t>
      </w:r>
    </w:p>
    <w:p w:rsidR="00135162" w:rsidRDefault="003945B8">
      <w:pPr>
        <w:numPr>
          <w:ilvl w:val="0"/>
          <w:numId w:val="1"/>
        </w:numPr>
        <w:pBdr>
          <w:top w:val="nil"/>
          <w:left w:val="nil"/>
          <w:bottom w:val="nil"/>
          <w:right w:val="nil"/>
          <w:between w:val="nil"/>
        </w:pBdr>
        <w:jc w:val="both"/>
        <w:rPr>
          <w:color w:val="000000"/>
        </w:rPr>
      </w:pPr>
      <w:r>
        <w:rPr>
          <w:rFonts w:ascii="Arial" w:eastAsia="Arial" w:hAnsi="Arial" w:cs="Arial"/>
          <w:color w:val="000000"/>
        </w:rPr>
        <w:t xml:space="preserve">Durante el presente año 2024, </w:t>
      </w:r>
      <w:proofErr w:type="spellStart"/>
      <w:r>
        <w:rPr>
          <w:rFonts w:ascii="Arial" w:eastAsia="Arial" w:hAnsi="Arial" w:cs="Arial"/>
          <w:color w:val="000000"/>
        </w:rPr>
        <w:t>Sanipes</w:t>
      </w:r>
      <w:proofErr w:type="spellEnd"/>
      <w:r>
        <w:rPr>
          <w:rFonts w:ascii="Arial" w:eastAsia="Arial" w:hAnsi="Arial" w:cs="Arial"/>
          <w:color w:val="000000"/>
        </w:rPr>
        <w:t xml:space="preserve"> ha emitido aproximadamente 800 protocolos técnicos de habilit</w:t>
      </w:r>
      <w:r>
        <w:rPr>
          <w:rFonts w:ascii="Arial" w:eastAsia="Arial" w:hAnsi="Arial" w:cs="Arial"/>
          <w:color w:val="000000"/>
        </w:rPr>
        <w:t>ación sanitaria a nivel nacional. </w:t>
      </w:r>
    </w:p>
    <w:p w:rsidR="00135162" w:rsidRDefault="003945B8">
      <w:pPr>
        <w:jc w:val="both"/>
        <w:rPr>
          <w:rFonts w:ascii="Arial" w:eastAsia="Arial" w:hAnsi="Arial" w:cs="Arial"/>
          <w:color w:val="000000"/>
        </w:rPr>
      </w:pPr>
      <w:r>
        <w:rPr>
          <w:rFonts w:ascii="Arial" w:eastAsia="Arial" w:hAnsi="Arial" w:cs="Arial"/>
          <w:color w:val="000000"/>
        </w:rPr>
        <w:t> </w:t>
      </w:r>
    </w:p>
    <w:p w:rsidR="00135162" w:rsidRDefault="003945B8">
      <w:pPr>
        <w:jc w:val="right"/>
        <w:rPr>
          <w:rFonts w:ascii="Arial" w:eastAsia="Arial" w:hAnsi="Arial" w:cs="Arial"/>
          <w:b/>
          <w:color w:val="000000"/>
        </w:rPr>
      </w:pPr>
      <w:r>
        <w:rPr>
          <w:rFonts w:ascii="Arial" w:eastAsia="Arial" w:hAnsi="Arial" w:cs="Arial"/>
          <w:b/>
          <w:color w:val="000000"/>
        </w:rPr>
        <w:t xml:space="preserve">Lima, </w:t>
      </w:r>
      <w:r w:rsidR="009D70FB">
        <w:rPr>
          <w:rFonts w:ascii="Arial" w:eastAsia="Arial" w:hAnsi="Arial" w:cs="Arial"/>
          <w:b/>
          <w:color w:val="000000"/>
        </w:rPr>
        <w:t>2</w:t>
      </w:r>
      <w:r>
        <w:rPr>
          <w:rFonts w:ascii="Arial" w:eastAsia="Arial" w:hAnsi="Arial" w:cs="Arial"/>
          <w:b/>
          <w:color w:val="000000"/>
        </w:rPr>
        <w:t xml:space="preserve"> de </w:t>
      </w:r>
      <w:r w:rsidR="009D70FB">
        <w:rPr>
          <w:rFonts w:ascii="Arial" w:eastAsia="Arial" w:hAnsi="Arial" w:cs="Arial"/>
          <w:b/>
          <w:color w:val="000000"/>
        </w:rPr>
        <w:t>setiembre</w:t>
      </w:r>
      <w:bookmarkStart w:id="1" w:name="_GoBack"/>
      <w:bookmarkEnd w:id="1"/>
      <w:r>
        <w:rPr>
          <w:rFonts w:ascii="Arial" w:eastAsia="Arial" w:hAnsi="Arial" w:cs="Arial"/>
          <w:b/>
          <w:color w:val="000000"/>
        </w:rPr>
        <w:t xml:space="preserve"> de 2024 </w:t>
      </w:r>
    </w:p>
    <w:p w:rsidR="00135162" w:rsidRDefault="00135162">
      <w:pPr>
        <w:jc w:val="both"/>
        <w:rPr>
          <w:rFonts w:ascii="Arial" w:eastAsia="Arial" w:hAnsi="Arial" w:cs="Arial"/>
          <w:color w:val="000000"/>
          <w:sz w:val="18"/>
          <w:szCs w:val="18"/>
        </w:rPr>
      </w:pPr>
    </w:p>
    <w:sectPr w:rsidR="00135162">
      <w:headerReference w:type="default" r:id="rId7"/>
      <w:pgSz w:w="11906" w:h="16838"/>
      <w:pgMar w:top="1135" w:right="1701"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B8" w:rsidRDefault="003945B8">
      <w:pPr>
        <w:spacing w:after="0" w:line="240" w:lineRule="auto"/>
      </w:pPr>
      <w:r>
        <w:separator/>
      </w:r>
    </w:p>
  </w:endnote>
  <w:endnote w:type="continuationSeparator" w:id="0">
    <w:p w:rsidR="003945B8" w:rsidRDefault="0039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B8" w:rsidRDefault="003945B8">
      <w:pPr>
        <w:spacing w:after="0" w:line="240" w:lineRule="auto"/>
      </w:pPr>
      <w:r>
        <w:separator/>
      </w:r>
    </w:p>
  </w:footnote>
  <w:footnote w:type="continuationSeparator" w:id="0">
    <w:p w:rsidR="003945B8" w:rsidRDefault="0039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162" w:rsidRDefault="003945B8">
    <w:pPr>
      <w:pBdr>
        <w:top w:val="nil"/>
        <w:left w:val="nil"/>
        <w:bottom w:val="nil"/>
        <w:right w:val="nil"/>
        <w:between w:val="nil"/>
      </w:pBdr>
      <w:tabs>
        <w:tab w:val="center" w:pos="4252"/>
        <w:tab w:val="right" w:pos="8504"/>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posOffset>622935</wp:posOffset>
          </wp:positionH>
          <wp:positionV relativeFrom="topMargin">
            <wp:posOffset>227965</wp:posOffset>
          </wp:positionV>
          <wp:extent cx="2133600" cy="414655"/>
          <wp:effectExtent l="0" t="0" r="0" b="0"/>
          <wp:wrapNone/>
          <wp:docPr id="1" name="image1.png" descr="image2.png"/>
          <wp:cNvGraphicFramePr/>
          <a:graphic xmlns:a="http://schemas.openxmlformats.org/drawingml/2006/main">
            <a:graphicData uri="http://schemas.openxmlformats.org/drawingml/2006/picture">
              <pic:pic xmlns:pic="http://schemas.openxmlformats.org/drawingml/2006/picture">
                <pic:nvPicPr>
                  <pic:cNvPr id="0" name="image1.png" descr="image2.png"/>
                  <pic:cNvPicPr preferRelativeResize="0"/>
                </pic:nvPicPr>
                <pic:blipFill>
                  <a:blip r:embed="rId1"/>
                  <a:srcRect/>
                  <a:stretch>
                    <a:fillRect/>
                  </a:stretch>
                </pic:blipFill>
                <pic:spPr>
                  <a:xfrm>
                    <a:off x="0" y="0"/>
                    <a:ext cx="2133600" cy="4146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31270"/>
    <w:multiLevelType w:val="multilevel"/>
    <w:tmpl w:val="EDAC8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62"/>
    <w:rsid w:val="000A1C51"/>
    <w:rsid w:val="00135162"/>
    <w:rsid w:val="003945B8"/>
    <w:rsid w:val="003D0948"/>
    <w:rsid w:val="009D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6C19"/>
  <w15:docId w15:val="{7DF8D12C-2F30-46FD-A026-3748279E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7</cp:revision>
  <dcterms:created xsi:type="dcterms:W3CDTF">2024-09-02T04:13:00Z</dcterms:created>
  <dcterms:modified xsi:type="dcterms:W3CDTF">2024-09-02T04:26:00Z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0x010100463FA332F40DDD4FB113271BDDF752A1</vt:lpwstr>
  </property>
</Properties>
</file>