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FA372" w14:textId="77777777" w:rsidR="008C059E" w:rsidRDefault="008C059E" w:rsidP="008C059E">
      <w:pPr>
        <w:pStyle w:val="paragraph"/>
        <w:spacing w:before="0" w:beforeAutospacing="0" w:after="0" w:afterAutospacing="0"/>
        <w:jc w:val="center"/>
        <w:textAlignment w:val="baseline"/>
        <w:rPr>
          <w:rStyle w:val="normaltextrun"/>
          <w:rFonts w:ascii="Arial" w:hAnsi="Arial" w:cs="Arial"/>
          <w:b/>
          <w:bCs/>
          <w:color w:val="000000" w:themeColor="text1"/>
          <w:sz w:val="22"/>
          <w:szCs w:val="22"/>
          <w:u w:val="single"/>
          <w:lang w:val="es-ES"/>
        </w:rPr>
      </w:pPr>
      <w:r w:rsidRPr="00822630">
        <w:rPr>
          <w:rStyle w:val="normaltextrun"/>
          <w:rFonts w:ascii="Arial" w:hAnsi="Arial" w:cs="Arial"/>
          <w:b/>
          <w:bCs/>
          <w:color w:val="000000" w:themeColor="text1"/>
          <w:sz w:val="22"/>
          <w:szCs w:val="22"/>
          <w:u w:val="single"/>
          <w:lang w:val="es-ES"/>
        </w:rPr>
        <w:t>NOTA DE PRENSA</w:t>
      </w:r>
    </w:p>
    <w:p w14:paraId="031E16D2" w14:textId="77777777" w:rsidR="008C059E" w:rsidRPr="00BE4CF0" w:rsidRDefault="008C059E" w:rsidP="008C059E">
      <w:pPr>
        <w:pStyle w:val="paragraph"/>
        <w:spacing w:before="0" w:beforeAutospacing="0" w:after="0" w:afterAutospacing="0"/>
        <w:jc w:val="center"/>
        <w:textAlignment w:val="baseline"/>
        <w:rPr>
          <w:rStyle w:val="normaltextrun"/>
          <w:rFonts w:ascii="Arial" w:hAnsi="Arial" w:cs="Arial"/>
          <w:b/>
          <w:bCs/>
          <w:color w:val="000000" w:themeColor="text1"/>
          <w:sz w:val="10"/>
          <w:szCs w:val="10"/>
          <w:u w:val="single"/>
          <w:lang w:val="es-ES"/>
        </w:rPr>
      </w:pPr>
    </w:p>
    <w:p w14:paraId="345E37ED" w14:textId="77777777" w:rsidR="008C059E" w:rsidRDefault="008C059E" w:rsidP="008C059E">
      <w:pPr>
        <w:ind w:left="0" w:hanging="2"/>
        <w:jc w:val="center"/>
        <w:rPr>
          <w:rFonts w:ascii="Aptos" w:eastAsia="Aptos" w:hAnsi="Aptos" w:cs="Aptos"/>
          <w:color w:val="000000" w:themeColor="text1"/>
        </w:rPr>
      </w:pPr>
      <w:r w:rsidRPr="7ADBC42C">
        <w:rPr>
          <w:rFonts w:ascii="Aptos" w:eastAsia="Aptos" w:hAnsi="Aptos" w:cs="Aptos"/>
          <w:b/>
          <w:bCs/>
          <w:color w:val="000000" w:themeColor="text1"/>
          <w:sz w:val="24"/>
          <w:szCs w:val="24"/>
          <w:lang w:val="es-ES"/>
        </w:rPr>
        <w:t xml:space="preserve">PRODUCE: </w:t>
      </w:r>
      <w:proofErr w:type="spellStart"/>
      <w:r w:rsidRPr="7ADBC42C">
        <w:rPr>
          <w:rFonts w:ascii="Aptos" w:eastAsia="Aptos" w:hAnsi="Aptos" w:cs="Aptos"/>
          <w:b/>
          <w:bCs/>
          <w:color w:val="000000" w:themeColor="text1"/>
          <w:sz w:val="24"/>
          <w:szCs w:val="24"/>
          <w:lang w:val="es-ES"/>
        </w:rPr>
        <w:t>Sanipes</w:t>
      </w:r>
      <w:proofErr w:type="spellEnd"/>
      <w:r w:rsidRPr="7ADBC42C">
        <w:rPr>
          <w:rFonts w:ascii="Aptos" w:eastAsia="Aptos" w:hAnsi="Aptos" w:cs="Aptos"/>
          <w:b/>
          <w:bCs/>
          <w:color w:val="000000" w:themeColor="text1"/>
          <w:sz w:val="24"/>
          <w:szCs w:val="24"/>
          <w:lang w:val="es-ES"/>
        </w:rPr>
        <w:t xml:space="preserve"> ahora es la Autoridad Nacional de Sanidad e Inocuidad en Pesca y Acuicultura</w:t>
      </w:r>
    </w:p>
    <w:p w14:paraId="1D945D70" w14:textId="133F3786" w:rsidR="008C059E" w:rsidRPr="0044552A" w:rsidRDefault="008C059E" w:rsidP="008C059E">
      <w:pPr>
        <w:ind w:left="-2" w:firstLineChars="0" w:firstLine="0"/>
        <w:rPr>
          <w:rFonts w:ascii="Arial" w:eastAsia="Times New Roman" w:hAnsi="Arial" w:cs="Arial"/>
          <w:b/>
          <w:bCs/>
          <w:color w:val="000000" w:themeColor="text1"/>
          <w:lang w:eastAsia="es-PE"/>
        </w:rPr>
      </w:pPr>
      <w:r>
        <w:rPr>
          <w:rFonts w:ascii="Aptos" w:eastAsia="Aptos" w:hAnsi="Aptos" w:cs="Aptos"/>
          <w:i/>
          <w:iCs/>
          <w:color w:val="000000" w:themeColor="text1"/>
          <w:sz w:val="24"/>
          <w:szCs w:val="24"/>
          <w:lang w:val="es-ES"/>
        </w:rPr>
        <w:t>-</w:t>
      </w:r>
      <w:r w:rsidRPr="7ADBC42C">
        <w:rPr>
          <w:rFonts w:ascii="Aptos" w:eastAsia="Aptos" w:hAnsi="Aptos" w:cs="Aptos"/>
          <w:i/>
          <w:iCs/>
          <w:color w:val="000000" w:themeColor="text1"/>
          <w:sz w:val="24"/>
          <w:szCs w:val="24"/>
          <w:lang w:val="es-ES"/>
        </w:rPr>
        <w:t>Cambio permitirá incluir análisis de riesgo en procesos de la cadena de valor pesquera y acuícola, mejorar fiscalización y agilizar emisión de títulos habilitantes.</w:t>
      </w:r>
    </w:p>
    <w:p w14:paraId="5FD1501A" w14:textId="7B41C2A1" w:rsidR="008C059E" w:rsidRDefault="008C059E" w:rsidP="008C059E">
      <w:pPr>
        <w:ind w:left="0" w:hanging="2"/>
        <w:rPr>
          <w:rFonts w:ascii="Aptos" w:eastAsia="Aptos" w:hAnsi="Aptos" w:cs="Aptos"/>
          <w:i/>
          <w:iCs/>
          <w:color w:val="000000" w:themeColor="text1"/>
        </w:rPr>
      </w:pPr>
      <w:r>
        <w:rPr>
          <w:rFonts w:ascii="Aptos" w:eastAsia="Aptos" w:hAnsi="Aptos" w:cs="Aptos"/>
          <w:i/>
          <w:iCs/>
          <w:color w:val="000000" w:themeColor="text1"/>
          <w:sz w:val="24"/>
          <w:szCs w:val="24"/>
        </w:rPr>
        <w:t>-</w:t>
      </w:r>
      <w:bookmarkStart w:id="0" w:name="_GoBack"/>
      <w:bookmarkEnd w:id="0"/>
      <w:r w:rsidRPr="7ADBC42C">
        <w:rPr>
          <w:rFonts w:ascii="Aptos" w:eastAsia="Aptos" w:hAnsi="Aptos" w:cs="Aptos"/>
          <w:i/>
          <w:iCs/>
          <w:color w:val="000000" w:themeColor="text1"/>
          <w:sz w:val="24"/>
          <w:szCs w:val="24"/>
          <w:lang w:val="es-ES"/>
        </w:rPr>
        <w:t>Ministro Sergio González destacó que esta iniciativa permitirá generar más de 400 mil puestos de trabajo directos e indirectos en toda la cadena productiva de la pesca.</w:t>
      </w:r>
    </w:p>
    <w:p w14:paraId="7BFADB0B" w14:textId="77777777" w:rsidR="008C059E" w:rsidRDefault="008C059E" w:rsidP="008C059E">
      <w:pPr>
        <w:ind w:left="0" w:hanging="2"/>
        <w:jc w:val="both"/>
        <w:rPr>
          <w:rFonts w:ascii="Aptos" w:eastAsia="Aptos" w:hAnsi="Aptos" w:cs="Aptos"/>
          <w:color w:val="000000" w:themeColor="text1"/>
        </w:rPr>
      </w:pPr>
      <w:r w:rsidRPr="7ADBC42C">
        <w:rPr>
          <w:rFonts w:ascii="Aptos" w:eastAsia="Aptos" w:hAnsi="Aptos" w:cs="Aptos"/>
          <w:color w:val="000000" w:themeColor="text1"/>
          <w:sz w:val="24"/>
          <w:szCs w:val="24"/>
          <w:lang w:val="es-ES"/>
        </w:rPr>
        <w:t>El Gobierno aprobó la modificación de la Ley N° 30063 - Ley de Creación del Organismo Nacional de Sanidad Pesquera (</w:t>
      </w:r>
      <w:proofErr w:type="spellStart"/>
      <w:r w:rsidRPr="7ADBC42C">
        <w:rPr>
          <w:rFonts w:ascii="Aptos" w:eastAsia="Aptos" w:hAnsi="Aptos" w:cs="Aptos"/>
          <w:color w:val="000000" w:themeColor="text1"/>
          <w:sz w:val="24"/>
          <w:szCs w:val="24"/>
          <w:lang w:val="es-ES"/>
        </w:rPr>
        <w:t>Sanipes</w:t>
      </w:r>
      <w:proofErr w:type="spellEnd"/>
      <w:r w:rsidRPr="7ADBC42C">
        <w:rPr>
          <w:rFonts w:ascii="Aptos" w:eastAsia="Aptos" w:hAnsi="Aptos" w:cs="Aptos"/>
          <w:color w:val="000000" w:themeColor="text1"/>
          <w:sz w:val="24"/>
          <w:szCs w:val="24"/>
          <w:lang w:val="es-ES"/>
        </w:rPr>
        <w:t>), por la que, desde hoy, esta entidad es la Autoridad Nacional de Sanidad e Inocuidad en Pesca y Acuicultura (</w:t>
      </w:r>
      <w:proofErr w:type="spellStart"/>
      <w:r w:rsidRPr="7ADBC42C">
        <w:rPr>
          <w:rFonts w:ascii="Aptos" w:eastAsia="Aptos" w:hAnsi="Aptos" w:cs="Aptos"/>
          <w:color w:val="000000" w:themeColor="text1"/>
          <w:sz w:val="24"/>
          <w:szCs w:val="24"/>
          <w:lang w:val="es-ES"/>
        </w:rPr>
        <w:t>Sanipes</w:t>
      </w:r>
      <w:proofErr w:type="spellEnd"/>
      <w:r w:rsidRPr="7ADBC42C">
        <w:rPr>
          <w:rFonts w:ascii="Aptos" w:eastAsia="Aptos" w:hAnsi="Aptos" w:cs="Aptos"/>
          <w:color w:val="000000" w:themeColor="text1"/>
          <w:sz w:val="24"/>
          <w:szCs w:val="24"/>
          <w:lang w:val="es-ES"/>
        </w:rPr>
        <w:t>), institución adscrita al Ministerio de la Producción (PRODUCE). Este cambio fortalecerá su ámbito de acción para proteger la salud pública, e impulsará la armonización de nuestras normas sanitarias con las internacionales, cautelando y mejorando el estatus sanitario del país, así como la inocuidad de los recursos y productos hidrobiológicos.</w:t>
      </w:r>
    </w:p>
    <w:p w14:paraId="61B240E3" w14:textId="77777777" w:rsidR="008C059E" w:rsidRDefault="008C059E" w:rsidP="008C059E">
      <w:pPr>
        <w:ind w:left="0" w:hanging="2"/>
        <w:jc w:val="both"/>
        <w:rPr>
          <w:rFonts w:ascii="Aptos" w:eastAsia="Aptos" w:hAnsi="Aptos" w:cs="Aptos"/>
          <w:color w:val="000000" w:themeColor="text1"/>
        </w:rPr>
      </w:pPr>
      <w:r w:rsidRPr="7ADBC42C">
        <w:rPr>
          <w:rFonts w:ascii="Aptos" w:eastAsia="Aptos" w:hAnsi="Aptos" w:cs="Aptos"/>
          <w:color w:val="000000" w:themeColor="text1"/>
          <w:sz w:val="24"/>
          <w:szCs w:val="24"/>
          <w:lang w:val="es-ES"/>
        </w:rPr>
        <w:t xml:space="preserve">“Esta institución de PRODUCE, que ahora se llamará la Autoridad Nacional de Sanidad e Inocuidad en Pesca y Acuicultura, generará 150 mil empleos en la acuicultura en 13 207 unidades productivas acuícolas. Esto permitirá crear alrededor de 400 mil puestos de trabajo directos e indirectos en toda la cadena productiva de la pesca. Seguimos trabajando arduamente por el desarrollo sostenible de la pesca en el país”, señaló el ministro de la Producción, Sergio González. </w:t>
      </w:r>
    </w:p>
    <w:p w14:paraId="0E70231A" w14:textId="77777777" w:rsidR="008C059E" w:rsidRDefault="008C059E" w:rsidP="008C059E">
      <w:pPr>
        <w:ind w:left="0" w:hanging="2"/>
        <w:jc w:val="both"/>
        <w:rPr>
          <w:rFonts w:ascii="Aptos" w:eastAsia="Aptos" w:hAnsi="Aptos" w:cs="Aptos"/>
          <w:color w:val="000000" w:themeColor="text1"/>
        </w:rPr>
      </w:pPr>
      <w:r w:rsidRPr="7ADBC42C">
        <w:rPr>
          <w:rFonts w:ascii="Aptos" w:eastAsia="Aptos" w:hAnsi="Aptos" w:cs="Aptos"/>
          <w:color w:val="000000" w:themeColor="text1"/>
          <w:sz w:val="24"/>
          <w:szCs w:val="24"/>
          <w:lang w:val="es-ES"/>
        </w:rPr>
        <w:t xml:space="preserve">Además, permitirá al </w:t>
      </w:r>
      <w:proofErr w:type="spellStart"/>
      <w:r w:rsidRPr="7ADBC42C">
        <w:rPr>
          <w:rFonts w:ascii="Aptos" w:eastAsia="Aptos" w:hAnsi="Aptos" w:cs="Aptos"/>
          <w:color w:val="000000" w:themeColor="text1"/>
          <w:sz w:val="24"/>
          <w:szCs w:val="24"/>
          <w:lang w:val="es-ES"/>
        </w:rPr>
        <w:t>Sanipes</w:t>
      </w:r>
      <w:proofErr w:type="spellEnd"/>
      <w:r w:rsidRPr="7ADBC42C">
        <w:rPr>
          <w:rFonts w:ascii="Aptos" w:eastAsia="Aptos" w:hAnsi="Aptos" w:cs="Aptos"/>
          <w:color w:val="000000" w:themeColor="text1"/>
          <w:sz w:val="24"/>
          <w:szCs w:val="24"/>
          <w:lang w:val="es-ES"/>
        </w:rPr>
        <w:t xml:space="preserve"> incorporar el enfoque de análisis de riesgo en la emisión de títulos habilitantes y en la ejecución de la fiscalización en toda la cadena de valor pesquera y acuícola, lo cual disminuirá tiempos y costos para las empresas que intervienen en el comercio exterior.</w:t>
      </w:r>
    </w:p>
    <w:p w14:paraId="7EFF5FBA" w14:textId="77777777" w:rsidR="008C059E" w:rsidRDefault="008C059E" w:rsidP="008C059E">
      <w:pPr>
        <w:ind w:left="0" w:hanging="2"/>
        <w:jc w:val="both"/>
        <w:rPr>
          <w:rFonts w:ascii="Aptos" w:eastAsia="Aptos" w:hAnsi="Aptos" w:cs="Aptos"/>
          <w:color w:val="000000" w:themeColor="text1"/>
        </w:rPr>
      </w:pPr>
      <w:r w:rsidRPr="7ADBC42C">
        <w:rPr>
          <w:rFonts w:ascii="Aptos" w:eastAsia="Aptos" w:hAnsi="Aptos" w:cs="Aptos"/>
          <w:color w:val="000000" w:themeColor="text1"/>
          <w:sz w:val="24"/>
          <w:szCs w:val="24"/>
          <w:lang w:val="es-ES"/>
        </w:rPr>
        <w:t xml:space="preserve">Por otro lado, la presidenta ejecutiva del </w:t>
      </w:r>
      <w:proofErr w:type="spellStart"/>
      <w:r w:rsidRPr="7ADBC42C">
        <w:rPr>
          <w:rFonts w:ascii="Aptos" w:eastAsia="Aptos" w:hAnsi="Aptos" w:cs="Aptos"/>
          <w:color w:val="000000" w:themeColor="text1"/>
          <w:sz w:val="24"/>
          <w:szCs w:val="24"/>
          <w:lang w:val="es-ES"/>
        </w:rPr>
        <w:t>Sanipes</w:t>
      </w:r>
      <w:proofErr w:type="spellEnd"/>
      <w:r w:rsidRPr="7ADBC42C">
        <w:rPr>
          <w:rFonts w:ascii="Aptos" w:eastAsia="Aptos" w:hAnsi="Aptos" w:cs="Aptos"/>
          <w:color w:val="000000" w:themeColor="text1"/>
          <w:sz w:val="24"/>
          <w:szCs w:val="24"/>
          <w:lang w:val="es-ES"/>
        </w:rPr>
        <w:t>, Mónica Saavedra, indicó que esta modificación también contribuirá a simplificar los procedimientos de emisión de los títulos habilitantes otorgados por la autoridad sanitaria. “Esto permitirá reducir hasta en un 25% el trámite de las más de 30 mil certificaciones y habilitaciones que, en promedio, emitimos anualmente. Del mismo modo, agilizará procedimientos para facilitar los procesos de comercio exterior”, detalló.</w:t>
      </w:r>
    </w:p>
    <w:p w14:paraId="2608671F" w14:textId="77777777" w:rsidR="008C059E" w:rsidRDefault="008C059E" w:rsidP="008C059E">
      <w:pPr>
        <w:ind w:left="0" w:hanging="2"/>
        <w:jc w:val="both"/>
        <w:rPr>
          <w:rFonts w:ascii="Aptos" w:eastAsia="Aptos" w:hAnsi="Aptos" w:cs="Aptos"/>
          <w:color w:val="000000" w:themeColor="text1"/>
        </w:rPr>
      </w:pPr>
      <w:r w:rsidRPr="7ADBC42C">
        <w:rPr>
          <w:rFonts w:ascii="Aptos" w:eastAsia="Aptos" w:hAnsi="Aptos" w:cs="Aptos"/>
          <w:color w:val="000000" w:themeColor="text1"/>
          <w:sz w:val="24"/>
          <w:szCs w:val="24"/>
          <w:lang w:val="es-ES"/>
        </w:rPr>
        <w:t xml:space="preserve">Asimismo, el </w:t>
      </w:r>
      <w:proofErr w:type="spellStart"/>
      <w:r w:rsidRPr="7ADBC42C">
        <w:rPr>
          <w:rFonts w:ascii="Aptos" w:eastAsia="Aptos" w:hAnsi="Aptos" w:cs="Aptos"/>
          <w:color w:val="000000" w:themeColor="text1"/>
          <w:sz w:val="24"/>
          <w:szCs w:val="24"/>
          <w:lang w:val="es-ES"/>
        </w:rPr>
        <w:t>Sanipes</w:t>
      </w:r>
      <w:proofErr w:type="spellEnd"/>
      <w:r w:rsidRPr="7ADBC42C">
        <w:rPr>
          <w:rFonts w:ascii="Aptos" w:eastAsia="Aptos" w:hAnsi="Aptos" w:cs="Aptos"/>
          <w:color w:val="000000" w:themeColor="text1"/>
          <w:sz w:val="24"/>
          <w:szCs w:val="24"/>
          <w:lang w:val="es-ES"/>
        </w:rPr>
        <w:t xml:space="preserve"> tendrá facultades para llegar a más de 10 000 pequeños productores acuícolas de categoría Acuicultura de Recursos Limitados (AREL), a los que les brindarán mecanismos de promoción que faciliten la certificación para el cumplimiento de la normativa sanitaria nacional e internacional para </w:t>
      </w:r>
      <w:r w:rsidRPr="7ADBC42C">
        <w:rPr>
          <w:rFonts w:ascii="Aptos" w:eastAsia="Aptos" w:hAnsi="Aptos" w:cs="Aptos"/>
          <w:color w:val="000000" w:themeColor="text1"/>
          <w:sz w:val="24"/>
          <w:szCs w:val="24"/>
          <w:lang w:val="es-ES"/>
        </w:rPr>
        <w:lastRenderedPageBreak/>
        <w:t>acceder al mercado de forma competitiva, garantizando la sanidad y la inocuidad de sus productos hidrobiológicos.</w:t>
      </w:r>
    </w:p>
    <w:p w14:paraId="2B68D02D" w14:textId="77777777" w:rsidR="008C059E" w:rsidRPr="0044552A" w:rsidRDefault="008C059E" w:rsidP="008C059E">
      <w:pPr>
        <w:ind w:left="0" w:hanging="2"/>
        <w:jc w:val="both"/>
        <w:rPr>
          <w:rFonts w:ascii="Arial" w:eastAsia="Times New Roman" w:hAnsi="Arial" w:cs="Arial"/>
          <w:color w:val="000000" w:themeColor="text1"/>
          <w:lang w:eastAsia="es-PE"/>
        </w:rPr>
      </w:pPr>
      <w:r w:rsidRPr="7ADBC42C">
        <w:rPr>
          <w:rFonts w:ascii="Aptos" w:eastAsia="Aptos" w:hAnsi="Aptos" w:cs="Aptos"/>
          <w:color w:val="000000" w:themeColor="text1"/>
          <w:sz w:val="24"/>
          <w:szCs w:val="24"/>
          <w:lang w:val="es-ES"/>
        </w:rPr>
        <w:t xml:space="preserve"> La modificación también propiciará el posicionamiento de Perú y su alineamiento a los estándares de las autoridades sanitarias internacionales, lo cual crearía una mayor apertura comercial a las más de 5.5 millones de toneladas de recursos hidrobiológicos que el país captura en promedio anualmente.</w:t>
      </w:r>
    </w:p>
    <w:p w14:paraId="6F0725DD" w14:textId="77777777" w:rsidR="008C059E" w:rsidRPr="00BC1044" w:rsidRDefault="008C059E" w:rsidP="008C059E">
      <w:pPr>
        <w:ind w:left="0" w:hanging="2"/>
        <w:jc w:val="both"/>
        <w:rPr>
          <w:rFonts w:ascii="Arial" w:eastAsia="Times New Roman" w:hAnsi="Arial" w:cs="Arial"/>
          <w:color w:val="000000" w:themeColor="text1"/>
          <w:lang w:val="es-ES" w:eastAsia="es-PE"/>
        </w:rPr>
      </w:pPr>
      <w:r w:rsidRPr="00BC1044">
        <w:rPr>
          <w:rFonts w:ascii="Arial" w:eastAsia="Times New Roman" w:hAnsi="Arial" w:cs="Arial"/>
          <w:color w:val="000000" w:themeColor="text1"/>
          <w:lang w:val="es-ES" w:eastAsia="es-PE"/>
        </w:rPr>
        <w:t> </w:t>
      </w:r>
    </w:p>
    <w:p w14:paraId="00446F1F" w14:textId="77777777" w:rsidR="008C059E" w:rsidRPr="00743C1C" w:rsidRDefault="008C059E" w:rsidP="008C059E">
      <w:pPr>
        <w:ind w:left="0" w:hanging="2"/>
        <w:jc w:val="right"/>
      </w:pPr>
      <w:r>
        <w:rPr>
          <w:rFonts w:ascii="Arial" w:eastAsia="Times New Roman" w:hAnsi="Arial" w:cs="Arial"/>
          <w:b/>
          <w:bCs/>
          <w:color w:val="000000" w:themeColor="text1"/>
          <w:lang w:val="es-ES" w:eastAsia="es-PE"/>
        </w:rPr>
        <w:t>Lima, 28</w:t>
      </w:r>
      <w:r w:rsidRPr="00BC1044">
        <w:rPr>
          <w:rFonts w:ascii="Arial" w:eastAsia="Times New Roman" w:hAnsi="Arial" w:cs="Arial"/>
          <w:b/>
          <w:bCs/>
          <w:color w:val="000000" w:themeColor="text1"/>
          <w:lang w:val="es-ES" w:eastAsia="es-PE"/>
        </w:rPr>
        <w:t xml:space="preserve"> de </w:t>
      </w:r>
      <w:r>
        <w:rPr>
          <w:rFonts w:ascii="Arial" w:eastAsia="Times New Roman" w:hAnsi="Arial" w:cs="Arial"/>
          <w:b/>
          <w:bCs/>
          <w:color w:val="000000" w:themeColor="text1"/>
          <w:lang w:val="es-ES" w:eastAsia="es-PE"/>
        </w:rPr>
        <w:t>setiembre</w:t>
      </w:r>
      <w:r w:rsidRPr="00BC1044">
        <w:rPr>
          <w:rFonts w:ascii="Arial" w:eastAsia="Times New Roman" w:hAnsi="Arial" w:cs="Arial"/>
          <w:b/>
          <w:bCs/>
          <w:color w:val="000000" w:themeColor="text1"/>
          <w:lang w:val="es-ES" w:eastAsia="es-PE"/>
        </w:rPr>
        <w:t xml:space="preserve"> de 2024 </w:t>
      </w:r>
    </w:p>
    <w:p w14:paraId="50F8CD70" w14:textId="77777777" w:rsidR="003760F5" w:rsidRPr="005442E2" w:rsidRDefault="003760F5" w:rsidP="005442E2">
      <w:pPr>
        <w:tabs>
          <w:tab w:val="left" w:pos="2423"/>
        </w:tabs>
        <w:ind w:leftChars="0" w:left="0" w:firstLineChars="0" w:firstLine="0"/>
        <w:rPr>
          <w:rFonts w:ascii="Arial" w:eastAsia="Arial" w:hAnsi="Arial" w:cs="Arial"/>
          <w:sz w:val="20"/>
          <w:szCs w:val="20"/>
        </w:rPr>
      </w:pPr>
    </w:p>
    <w:sectPr w:rsidR="003760F5" w:rsidRPr="005442E2" w:rsidSect="00BA3779">
      <w:headerReference w:type="even" r:id="rId8"/>
      <w:headerReference w:type="default" r:id="rId9"/>
      <w:footerReference w:type="even" r:id="rId10"/>
      <w:footerReference w:type="default" r:id="rId11"/>
      <w:headerReference w:type="first" r:id="rId12"/>
      <w:footerReference w:type="first" r:id="rId13"/>
      <w:pgSz w:w="11906" w:h="16838"/>
      <w:pgMar w:top="1695" w:right="1701" w:bottom="1417" w:left="1701" w:header="680" w:footer="2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9D26" w14:textId="77777777" w:rsidR="003F10A7" w:rsidRDefault="003F10A7">
      <w:pPr>
        <w:spacing w:after="0" w:line="240" w:lineRule="auto"/>
        <w:ind w:left="0" w:hanging="2"/>
      </w:pPr>
      <w:r>
        <w:separator/>
      </w:r>
    </w:p>
  </w:endnote>
  <w:endnote w:type="continuationSeparator" w:id="0">
    <w:p w14:paraId="1FB9DA7B" w14:textId="77777777" w:rsidR="003F10A7" w:rsidRDefault="003F10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33CE" w14:textId="77777777" w:rsidR="00503CA7" w:rsidRDefault="00503CA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EE62" w14:textId="77777777" w:rsidR="00503CA7" w:rsidRDefault="00503CA7">
    <w:pPr>
      <w:tabs>
        <w:tab w:val="left" w:pos="-284"/>
      </w:tabs>
      <w:spacing w:after="0" w:line="360" w:lineRule="auto"/>
      <w:ind w:right="-568"/>
      <w:jc w:val="both"/>
      <w:rPr>
        <w:sz w:val="14"/>
        <w:szCs w:val="14"/>
      </w:rPr>
    </w:pPr>
  </w:p>
  <w:p w14:paraId="2349F148" w14:textId="77777777" w:rsidR="00503CA7" w:rsidRDefault="003760F5" w:rsidP="005442E2">
    <w:pPr>
      <w:ind w:leftChars="-130" w:left="-284" w:hanging="2"/>
      <w:rPr>
        <w:sz w:val="10"/>
        <w:szCs w:val="10"/>
      </w:rPr>
    </w:pPr>
    <w:r>
      <w:rPr>
        <w:noProof/>
        <w:lang w:val="en-US"/>
      </w:rPr>
      <w:drawing>
        <wp:anchor distT="0" distB="0" distL="114300" distR="114300" simplePos="0" relativeHeight="251661312" behindDoc="0" locked="0" layoutInCell="1" hidden="0" allowOverlap="1" wp14:anchorId="54BF55B3" wp14:editId="42C6A7FD">
          <wp:simplePos x="0" y="0"/>
          <wp:positionH relativeFrom="column">
            <wp:posOffset>3755399</wp:posOffset>
          </wp:positionH>
          <wp:positionV relativeFrom="paragraph">
            <wp:posOffset>83185</wp:posOffset>
          </wp:positionV>
          <wp:extent cx="871480" cy="524107"/>
          <wp:effectExtent l="0" t="0" r="5080" b="9525"/>
          <wp:wrapNone/>
          <wp:docPr id="43" name="image2.png"/>
          <wp:cNvGraphicFramePr/>
          <a:graphic xmlns:a="http://schemas.openxmlformats.org/drawingml/2006/main">
            <a:graphicData uri="http://schemas.openxmlformats.org/drawingml/2006/picture">
              <pic:pic xmlns:pic="http://schemas.openxmlformats.org/drawingml/2006/picture">
                <pic:nvPicPr>
                  <pic:cNvPr id="4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71480" cy="524107"/>
                  </a:xfrm>
                  <a:prstGeom prst="rect">
                    <a:avLst/>
                  </a:prstGeom>
                  <a:ln/>
                </pic:spPr>
              </pic:pic>
            </a:graphicData>
          </a:graphic>
          <wp14:sizeRelH relativeFrom="margin">
            <wp14:pctWidth>0</wp14:pctWidth>
          </wp14:sizeRelH>
          <wp14:sizeRelV relativeFrom="margin">
            <wp14:pctHeight>0</wp14:pctHeight>
          </wp14:sizeRelV>
        </wp:anchor>
      </w:drawing>
    </w:r>
    <w:r>
      <w:rPr>
        <w:noProof/>
        <w:sz w:val="14"/>
        <w:szCs w:val="14"/>
        <w:lang w:val="en-US"/>
      </w:rPr>
      <w:drawing>
        <wp:anchor distT="0" distB="0" distL="114300" distR="114300" simplePos="0" relativeHeight="251662336" behindDoc="0" locked="0" layoutInCell="1" allowOverlap="1" wp14:anchorId="13AA08DB" wp14:editId="7D2284B5">
          <wp:simplePos x="0" y="0"/>
          <wp:positionH relativeFrom="column">
            <wp:posOffset>4952407</wp:posOffset>
          </wp:positionH>
          <wp:positionV relativeFrom="paragraph">
            <wp:posOffset>23619</wp:posOffset>
          </wp:positionV>
          <wp:extent cx="1094930" cy="5868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otipo BICENTENARIO 2024_HORIZONTAL.png"/>
                  <pic:cNvPicPr/>
                </pic:nvPicPr>
                <pic:blipFill>
                  <a:blip r:embed="rId2">
                    <a:extLst>
                      <a:ext uri="{28A0092B-C50C-407E-A947-70E740481C1C}">
                        <a14:useLocalDpi xmlns:a14="http://schemas.microsoft.com/office/drawing/2010/main" val="0"/>
                      </a:ext>
                    </a:extLst>
                  </a:blip>
                  <a:stretch>
                    <a:fillRect/>
                  </a:stretch>
                </pic:blipFill>
                <pic:spPr>
                  <a:xfrm>
                    <a:off x="0" y="0"/>
                    <a:ext cx="1094930" cy="586864"/>
                  </a:xfrm>
                  <a:prstGeom prst="rect">
                    <a:avLst/>
                  </a:prstGeom>
                </pic:spPr>
              </pic:pic>
            </a:graphicData>
          </a:graphic>
          <wp14:sizeRelH relativeFrom="page">
            <wp14:pctWidth>0</wp14:pctWidth>
          </wp14:sizeRelH>
          <wp14:sizeRelV relativeFrom="page">
            <wp14:pctHeight>0</wp14:pctHeight>
          </wp14:sizeRelV>
        </wp:anchor>
      </w:drawing>
    </w:r>
  </w:p>
  <w:p w14:paraId="66BA1C2A" w14:textId="77777777" w:rsidR="00503CA7" w:rsidRDefault="0094331D" w:rsidP="005442E2">
    <w:pPr>
      <w:pBdr>
        <w:top w:val="nil"/>
        <w:left w:val="nil"/>
        <w:bottom w:val="nil"/>
        <w:right w:val="nil"/>
        <w:between w:val="nil"/>
      </w:pBdr>
      <w:spacing w:after="0" w:line="240" w:lineRule="auto"/>
      <w:ind w:leftChars="-130" w:left="-285"/>
      <w:rPr>
        <w:rFonts w:ascii="Arial" w:eastAsia="Arial" w:hAnsi="Arial" w:cs="Arial"/>
        <w:color w:val="000000"/>
        <w:sz w:val="14"/>
        <w:szCs w:val="14"/>
      </w:rPr>
    </w:pPr>
    <w:r>
      <w:rPr>
        <w:rFonts w:ascii="Arial" w:eastAsia="Arial" w:hAnsi="Arial" w:cs="Arial"/>
        <w:color w:val="000000"/>
        <w:sz w:val="14"/>
        <w:szCs w:val="14"/>
      </w:rPr>
      <w:t>Ca. Amador Merino Reyna 267 Piso 12 San Isidro - Lima</w:t>
    </w:r>
  </w:p>
  <w:p w14:paraId="0CD75C44" w14:textId="77777777" w:rsidR="00503CA7" w:rsidRDefault="0094331D" w:rsidP="005442E2">
    <w:pPr>
      <w:pBdr>
        <w:top w:val="nil"/>
        <w:left w:val="nil"/>
        <w:bottom w:val="nil"/>
        <w:right w:val="nil"/>
        <w:between w:val="nil"/>
      </w:pBdr>
      <w:spacing w:after="0" w:line="240" w:lineRule="auto"/>
      <w:ind w:leftChars="-130" w:left="-285"/>
      <w:rPr>
        <w:rFonts w:ascii="Arial" w:eastAsia="Arial" w:hAnsi="Arial" w:cs="Arial"/>
        <w:color w:val="000000"/>
        <w:sz w:val="14"/>
        <w:szCs w:val="14"/>
      </w:rPr>
    </w:pPr>
    <w:r>
      <w:rPr>
        <w:rFonts w:ascii="Arial" w:eastAsia="Arial" w:hAnsi="Arial" w:cs="Arial"/>
        <w:color w:val="000000"/>
        <w:sz w:val="14"/>
        <w:szCs w:val="14"/>
      </w:rPr>
      <w:t>Av. Carretera a Ventanilla km 5.2 - Callao</w:t>
    </w:r>
    <w:r>
      <w:rPr>
        <w:rFonts w:ascii="Arial" w:eastAsia="Arial" w:hAnsi="Arial" w:cs="Arial"/>
        <w:color w:val="000000"/>
        <w:sz w:val="14"/>
        <w:szCs w:val="14"/>
      </w:rPr>
      <w:br/>
      <w:t>www.gob.pe/sanipes</w:t>
    </w:r>
  </w:p>
  <w:p w14:paraId="3CFB4A7C" w14:textId="77777777" w:rsidR="00503CA7" w:rsidRDefault="00503CA7">
    <w:pPr>
      <w:tabs>
        <w:tab w:val="left" w:pos="-284"/>
      </w:tabs>
      <w:spacing w:after="0" w:line="360" w:lineRule="auto"/>
      <w:ind w:right="-568"/>
      <w:jc w:val="both"/>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5635" w14:textId="77777777" w:rsidR="00503CA7" w:rsidRDefault="00503CA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71021" w14:textId="77777777" w:rsidR="003F10A7" w:rsidRDefault="003F10A7">
      <w:pPr>
        <w:spacing w:after="0" w:line="240" w:lineRule="auto"/>
        <w:ind w:left="0" w:hanging="2"/>
      </w:pPr>
      <w:r>
        <w:separator/>
      </w:r>
    </w:p>
  </w:footnote>
  <w:footnote w:type="continuationSeparator" w:id="0">
    <w:p w14:paraId="61DF74E0" w14:textId="77777777" w:rsidR="003F10A7" w:rsidRDefault="003F10A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6CE4" w14:textId="77777777" w:rsidR="00503CA7" w:rsidRDefault="00503CA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1CA9" w14:textId="78EB5518" w:rsidR="00503CA7" w:rsidRDefault="00BA3779">
    <w:pPr>
      <w:pBdr>
        <w:top w:val="nil"/>
        <w:left w:val="nil"/>
        <w:bottom w:val="nil"/>
        <w:right w:val="nil"/>
        <w:between w:val="nil"/>
      </w:pBdr>
      <w:spacing w:after="0" w:line="240" w:lineRule="auto"/>
      <w:ind w:left="0" w:hanging="2"/>
      <w:rPr>
        <w:color w:val="000000"/>
      </w:rPr>
    </w:pPr>
    <w:r>
      <w:rPr>
        <w:noProof/>
        <w:lang w:val="en-US"/>
      </w:rPr>
      <w:drawing>
        <wp:anchor distT="0" distB="0" distL="114300" distR="114300" simplePos="0" relativeHeight="251659264" behindDoc="0" locked="0" layoutInCell="1" hidden="0" allowOverlap="1" wp14:anchorId="6041B769" wp14:editId="0B013DE5">
          <wp:simplePos x="0" y="0"/>
          <wp:positionH relativeFrom="column">
            <wp:posOffset>4209959</wp:posOffset>
          </wp:positionH>
          <wp:positionV relativeFrom="paragraph">
            <wp:posOffset>11628</wp:posOffset>
          </wp:positionV>
          <wp:extent cx="1439533" cy="468000"/>
          <wp:effectExtent l="0" t="0" r="0" b="1905"/>
          <wp:wrapNone/>
          <wp:docPr id="4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referRelativeResize="0"/>
                </pic:nvPicPr>
                <pic:blipFill rotWithShape="1">
                  <a:blip r:embed="rId1">
                    <a:extLst>
                      <a:ext uri="{28A0092B-C50C-407E-A947-70E740481C1C}">
                        <a14:useLocalDpi xmlns:a14="http://schemas.microsoft.com/office/drawing/2010/main" val="0"/>
                      </a:ext>
                    </a:extLst>
                  </a:blip>
                  <a:srcRect t="14650" b="12298"/>
                  <a:stretch/>
                </pic:blipFill>
                <pic:spPr bwMode="auto">
                  <a:xfrm>
                    <a:off x="0" y="0"/>
                    <a:ext cx="1439533" cy="4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331D">
      <w:rPr>
        <w:noProof/>
        <w:lang w:val="en-US"/>
      </w:rPr>
      <w:drawing>
        <wp:anchor distT="0" distB="0" distL="114300" distR="114300" simplePos="0" relativeHeight="251658240" behindDoc="0" locked="0" layoutInCell="1" hidden="0" allowOverlap="1" wp14:anchorId="14AA5CC5" wp14:editId="772C744C">
          <wp:simplePos x="0" y="0"/>
          <wp:positionH relativeFrom="column">
            <wp:posOffset>-594703</wp:posOffset>
          </wp:positionH>
          <wp:positionV relativeFrom="paragraph">
            <wp:posOffset>12488</wp:posOffset>
          </wp:positionV>
          <wp:extent cx="2104712" cy="418679"/>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04712" cy="418679"/>
                  </a:xfrm>
                  <a:prstGeom prst="rect">
                    <a:avLst/>
                  </a:prstGeom>
                  <a:ln/>
                </pic:spPr>
              </pic:pic>
            </a:graphicData>
          </a:graphic>
        </wp:anchor>
      </w:drawing>
    </w:r>
  </w:p>
  <w:p w14:paraId="0E914814" w14:textId="77777777" w:rsidR="00503CA7" w:rsidRDefault="00503CA7">
    <w:pPr>
      <w:pBdr>
        <w:top w:val="nil"/>
        <w:left w:val="nil"/>
        <w:bottom w:val="nil"/>
        <w:right w:val="nil"/>
        <w:between w:val="nil"/>
      </w:pBdr>
      <w:spacing w:after="0" w:line="240" w:lineRule="auto"/>
      <w:ind w:left="0" w:hanging="2"/>
      <w:rPr>
        <w:color w:val="000000"/>
      </w:rPr>
    </w:pPr>
  </w:p>
  <w:p w14:paraId="7686E215" w14:textId="77777777" w:rsidR="00503CA7" w:rsidRDefault="00503CA7">
    <w:pPr>
      <w:pBdr>
        <w:top w:val="nil"/>
        <w:left w:val="nil"/>
        <w:bottom w:val="nil"/>
        <w:right w:val="nil"/>
        <w:between w:val="nil"/>
      </w:pBdr>
      <w:spacing w:after="0" w:line="240" w:lineRule="auto"/>
      <w:ind w:left="0" w:hanging="2"/>
      <w:rPr>
        <w:color w:val="000000"/>
      </w:rPr>
    </w:pPr>
  </w:p>
  <w:p w14:paraId="2F9C3006" w14:textId="77777777" w:rsidR="00503CA7" w:rsidRDefault="00503CA7">
    <w:pPr>
      <w:pBdr>
        <w:top w:val="nil"/>
        <w:left w:val="nil"/>
        <w:bottom w:val="nil"/>
        <w:right w:val="nil"/>
        <w:between w:val="nil"/>
      </w:pBdr>
      <w:spacing w:after="0" w:line="240" w:lineRule="auto"/>
      <w:rPr>
        <w:color w:val="000000"/>
        <w:sz w:val="10"/>
        <w:szCs w:val="10"/>
      </w:rPr>
    </w:pPr>
  </w:p>
  <w:p w14:paraId="4F90E61E" w14:textId="77777777" w:rsidR="00F031C0" w:rsidRDefault="0094331D" w:rsidP="00F031C0">
    <w:pPr>
      <w:pBdr>
        <w:top w:val="nil"/>
        <w:left w:val="nil"/>
        <w:bottom w:val="nil"/>
        <w:right w:val="nil"/>
        <w:between w:val="nil"/>
      </w:pBdr>
      <w:spacing w:after="0"/>
      <w:ind w:leftChars="-194" w:left="-426"/>
      <w:rPr>
        <w:rFonts w:ascii="Arial" w:eastAsia="Arial" w:hAnsi="Arial" w:cs="Arial"/>
        <w:color w:val="000000"/>
        <w:sz w:val="14"/>
        <w:szCs w:val="14"/>
      </w:rPr>
    </w:pPr>
    <w:r>
      <w:rPr>
        <w:rFonts w:ascii="Arial" w:eastAsia="Arial" w:hAnsi="Arial" w:cs="Arial"/>
        <w:color w:val="000000"/>
        <w:sz w:val="14"/>
        <w:szCs w:val="14"/>
      </w:rPr>
      <w:t>“</w:t>
    </w:r>
    <w:r w:rsidR="00F031C0">
      <w:rPr>
        <w:rFonts w:ascii="Arial" w:eastAsia="Arial" w:hAnsi="Arial" w:cs="Arial"/>
        <w:color w:val="000000"/>
        <w:sz w:val="14"/>
        <w:szCs w:val="14"/>
      </w:rPr>
      <w:t>“Decenio de la Igualdad de Oportunidades para Mujeres y Hombres”</w:t>
    </w:r>
  </w:p>
  <w:p w14:paraId="36C1C7FA" w14:textId="1CF073A3" w:rsidR="00503CA7" w:rsidRDefault="00F031C0" w:rsidP="00F031C0">
    <w:pPr>
      <w:pBdr>
        <w:top w:val="nil"/>
        <w:left w:val="nil"/>
        <w:bottom w:val="nil"/>
        <w:right w:val="nil"/>
        <w:between w:val="nil"/>
      </w:pBdr>
      <w:spacing w:after="0"/>
      <w:ind w:leftChars="-194" w:left="-426"/>
      <w:rPr>
        <w:rFonts w:ascii="Arial" w:hAnsi="Arial" w:cs="Arial"/>
        <w:color w:val="202124"/>
        <w:sz w:val="14"/>
        <w:szCs w:val="14"/>
        <w:shd w:val="clear" w:color="auto" w:fill="FFFFFF"/>
        <w:lang w:val="es-PE" w:eastAsia="es-ES_tradnl"/>
      </w:rPr>
    </w:pPr>
    <w:r w:rsidRPr="0034191C">
      <w:rPr>
        <w:rFonts w:ascii="Arial" w:hAnsi="Arial" w:cs="Arial"/>
        <w:color w:val="202124"/>
        <w:sz w:val="14"/>
        <w:szCs w:val="14"/>
        <w:shd w:val="clear" w:color="auto" w:fill="FFFFFF"/>
        <w:lang w:val="es-PE" w:eastAsia="es-ES_tradnl"/>
      </w:rPr>
      <w:t>“</w:t>
    </w:r>
    <w:r w:rsidRPr="0034191C">
      <w:rPr>
        <w:rFonts w:ascii="Arial" w:hAnsi="Arial" w:cs="Arial"/>
        <w:color w:val="040C28"/>
        <w:sz w:val="14"/>
        <w:szCs w:val="14"/>
        <w:lang w:val="es-PE" w:eastAsia="es-ES_tradnl"/>
      </w:rPr>
      <w:t>Año del Bicentenario, de la consolidación de nuestra Independencia,</w:t>
    </w:r>
    <w:r>
      <w:rPr>
        <w:rFonts w:ascii="Arial" w:hAnsi="Arial" w:cs="Arial"/>
        <w:color w:val="040C28"/>
        <w:sz w:val="14"/>
        <w:szCs w:val="14"/>
        <w:lang w:val="es-PE" w:eastAsia="es-ES_tradnl"/>
      </w:rPr>
      <w:t xml:space="preserve"> </w:t>
    </w:r>
    <w:r w:rsidRPr="0034191C">
      <w:rPr>
        <w:rFonts w:ascii="Arial" w:hAnsi="Arial" w:cs="Arial"/>
        <w:color w:val="040C28"/>
        <w:sz w:val="14"/>
        <w:szCs w:val="14"/>
        <w:lang w:val="es-PE" w:eastAsia="es-ES_tradnl"/>
      </w:rPr>
      <w:t>y de la conmemoración de las heroicas batallas de Junín y Ayacucho</w:t>
    </w:r>
    <w:r w:rsidRPr="0034191C">
      <w:rPr>
        <w:rFonts w:ascii="Arial" w:hAnsi="Arial" w:cs="Arial"/>
        <w:color w:val="202124"/>
        <w:sz w:val="14"/>
        <w:szCs w:val="14"/>
        <w:shd w:val="clear" w:color="auto" w:fill="FFFFFF"/>
        <w:lang w:val="es-PE" w:eastAsia="es-ES_tradnl"/>
      </w:rPr>
      <w:t>”</w:t>
    </w:r>
  </w:p>
  <w:p w14:paraId="3654C779" w14:textId="77777777" w:rsidR="00F031C0" w:rsidRPr="00F031C0" w:rsidRDefault="00F031C0" w:rsidP="00F031C0">
    <w:pPr>
      <w:pBdr>
        <w:top w:val="nil"/>
        <w:left w:val="nil"/>
        <w:bottom w:val="nil"/>
        <w:right w:val="nil"/>
        <w:between w:val="nil"/>
      </w:pBdr>
      <w:spacing w:after="0"/>
      <w:ind w:leftChars="-194" w:left="-425" w:hanging="2"/>
      <w:rPr>
        <w:rFonts w:ascii="Arial" w:hAnsi="Arial" w:cs="Arial"/>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074D" w14:textId="77777777" w:rsidR="00503CA7" w:rsidRDefault="00503CA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6F59"/>
    <w:multiLevelType w:val="multilevel"/>
    <w:tmpl w:val="F404D4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A7"/>
    <w:rsid w:val="0035643F"/>
    <w:rsid w:val="003760F5"/>
    <w:rsid w:val="003F10A7"/>
    <w:rsid w:val="00503CA7"/>
    <w:rsid w:val="005442E2"/>
    <w:rsid w:val="008C059E"/>
    <w:rsid w:val="0094331D"/>
    <w:rsid w:val="00B25DDC"/>
    <w:rsid w:val="00B419C1"/>
    <w:rsid w:val="00BA3779"/>
    <w:rsid w:val="00D84148"/>
    <w:rsid w:val="00F031C0"/>
    <w:rsid w:val="00F975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D838B"/>
  <w15:docId w15:val="{1D97C8F7-3C8B-E846-817C-B670C5E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_tradnl"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Cuadrculaclara-nfasis3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pPr>
  </w:style>
  <w:style w:type="paragraph" w:styleId="Textoindependiente">
    <w:name w:val="Body Text"/>
    <w:basedOn w:val="Normal"/>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rPr>
      <w:rFonts w:ascii="Arial MT" w:eastAsia="Arial MT" w:hAnsi="Arial MT" w:cs="Arial MT"/>
      <w:w w:val="100"/>
      <w:position w:val="-1"/>
      <w:sz w:val="20"/>
      <w:szCs w:val="20"/>
      <w:effect w:val="none"/>
      <w:vertAlign w:val="baseline"/>
      <w:cs w:val="0"/>
      <w:em w:val="none"/>
      <w:lang w:val="es-ES"/>
    </w:rPr>
  </w:style>
  <w:style w:type="paragraph" w:customStyle="1" w:styleId="Ttulo11">
    <w:name w:val="Título 11"/>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1">
    <w:name w:val="Normal1"/>
    <w:pPr>
      <w:suppressAutoHyphens/>
      <w:ind w:leftChars="-1" w:left="-1" w:hangingChars="1"/>
      <w:textDirection w:val="btLr"/>
      <w:textAlignment w:val="top"/>
      <w:outlineLvl w:val="0"/>
    </w:pPr>
    <w:rPr>
      <w:position w:val="-1"/>
      <w:lang w:eastAsia="es-ES"/>
    </w:rPr>
  </w:style>
  <w:style w:type="paragraph" w:customStyle="1" w:styleId="Ttulo12">
    <w:name w:val="Título 12"/>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2">
    <w:name w:val="Normal2"/>
    <w:pPr>
      <w:suppressAutoHyphens/>
      <w:ind w:leftChars="-1" w:left="-1" w:hangingChars="1"/>
      <w:textDirection w:val="btLr"/>
      <w:textAlignment w:val="top"/>
      <w:outlineLvl w:val="0"/>
    </w:pPr>
    <w:rPr>
      <w:position w:val="-1"/>
      <w:lang w:eastAsia="es-ES"/>
    </w:rPr>
  </w:style>
  <w:style w:type="table" w:customStyle="1" w:styleId="TableNormald">
    <w:name w:val="Table Normal"/>
    <w:next w:val="TableNormalc"/>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Arial MT" w:eastAsia="Arial MT" w:hAnsi="Arial MT" w:cs="Arial MT"/>
      <w:lang w:val="es-ES"/>
    </w:rPr>
  </w:style>
  <w:style w:type="character" w:customStyle="1" w:styleId="Cuadrculaclara-nfasis3Car">
    <w:name w:val="Cuadrícula clara - Énfasis 3 Car"/>
    <w:aliases w:val="Titulo de Fígura Car,TITULO A Car,Cuadro 2-1 Car,Fundamentacion Car,Bulleted List Car,Lista vistosa - Énfasis 11 Car,Párrafo de lista2 Car,Titulo parrafo Car,Punto Car,3 Car,Iz - Párrafo de lista Car,Sivsa Parrafo Car"/>
    <w:uiPriority w:val="34"/>
    <w:qFormat/>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2"/>
      <w:szCs w:val="22"/>
      <w:effect w:val="none"/>
      <w:vertAlign w:val="baseline"/>
      <w:cs w:val="0"/>
      <w:em w:val="none"/>
    </w:rPr>
  </w:style>
  <w:style w:type="paragraph" w:customStyle="1" w:styleId="Cuadrculamedia2-nfasis11">
    <w:name w:val="Cuadrícula media 2 - Énfasis 11"/>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entury Gothic" w:hAnsi="Century Gothic" w:cs="Century Gothic"/>
      <w:color w:val="000000"/>
      <w:position w:val="-1"/>
      <w:sz w:val="24"/>
      <w:szCs w:val="24"/>
    </w:rPr>
  </w:style>
  <w:style w:type="paragraph" w:customStyle="1" w:styleId="Cuadrculamedia1-nfasis21">
    <w:name w:val="Cuadrícula media 1 - Énfasis 21"/>
    <w:aliases w:val="Bullet 1,titulo"/>
    <w:basedOn w:val="Normal"/>
    <w:pPr>
      <w:spacing w:after="0" w:line="240" w:lineRule="auto"/>
      <w:ind w:left="720"/>
      <w:contextualSpacing/>
    </w:pPr>
    <w:rPr>
      <w:rFonts w:ascii="Times New Roman" w:eastAsia="Times New Roman" w:hAnsi="Times New Roman"/>
      <w:sz w:val="24"/>
      <w:szCs w:val="24"/>
      <w:lang w:val="es-ES" w:eastAsia="es-ES"/>
    </w:rPr>
  </w:style>
  <w:style w:type="paragraph" w:customStyle="1" w:styleId="Cuadrculaclara-nfasis310">
    <w:name w:val="Cuadrícula clara - Énfasis 31"/>
    <w:basedOn w:val="Normal"/>
    <w:uiPriority w:val="34"/>
    <w:qFormat/>
    <w:pPr>
      <w:ind w:left="720"/>
      <w:contextualSpacing/>
    </w:pPr>
    <w:rPr>
      <w:lang w:eastAsia="ja-JP"/>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s-ES" w:eastAsia="es-ES"/>
    </w:rPr>
  </w:style>
  <w:style w:type="character" w:customStyle="1" w:styleId="Cuadrculamedia2Car">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customStyle="1" w:styleId="Prrafodelista1">
    <w:name w:val="Párrafo de lista1"/>
    <w:aliases w:val="Colorful List Accent 1,Ha,SUBTITU MEMO,Viñeta normal,Tipo2,List Paragraph-Thesis,paul2"/>
    <w:basedOn w:val="Normal"/>
    <w:pPr>
      <w:spacing w:after="0" w:line="240" w:lineRule="auto"/>
      <w:ind w:left="720"/>
      <w:contextualSpacing/>
    </w:pPr>
    <w:rPr>
      <w:rFonts w:ascii="Times New Roman" w:hAnsi="Times New Roman"/>
      <w:sz w:val="24"/>
      <w:szCs w:val="24"/>
      <w:lang w:val="es-ES"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markzzkuas3gt">
    <w:name w:val="markzzkuas3gt"/>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a media 2 - Énfasis 41,List Paragraph2,List Paragraph 1,ASPECTOS GENERALES,Cita Pie de Página,Párrafo Normal,N°"/>
    <w:basedOn w:val="Normal"/>
    <w:uiPriority w:val="34"/>
    <w:qFormat/>
    <w:rsid w:val="00174B23"/>
    <w:pPr>
      <w:ind w:left="720"/>
      <w:contextualSpacing/>
    </w:pPr>
  </w:style>
  <w:style w:type="paragraph" w:styleId="Sinespaciado">
    <w:name w:val="No Spacing"/>
    <w:uiPriority w:val="1"/>
    <w:qFormat/>
    <w:rsid w:val="00691135"/>
    <w:pPr>
      <w:suppressAutoHyphens/>
      <w:spacing w:after="0" w:line="240" w:lineRule="auto"/>
      <w:ind w:leftChars="-1" w:left="-1" w:hangingChars="1"/>
      <w:textDirection w:val="btLr"/>
      <w:textAlignment w:val="top"/>
      <w:outlineLvl w:val="0"/>
    </w:pPr>
    <w:rPr>
      <w:position w:val="-1"/>
      <w:lang w:eastAsia="en-US"/>
    </w:rPr>
  </w:style>
  <w:style w:type="paragraph" w:styleId="Textonotapie">
    <w:name w:val="footnote text"/>
    <w:aliases w:val="Ftnote Txt 11ptG,Car,FN,FN Car,Footnote Text Char1,Footnote Text Char Char1,Footnote Text Char4 Char Char,Footnote Text Char1 Char1 Char1 Char,Footnote Text Char Char1 Char1 Char Char,cita,Footnote Text Char, Car"/>
    <w:basedOn w:val="Normal"/>
    <w:link w:val="TextonotapieCar"/>
    <w:uiPriority w:val="99"/>
    <w:unhideWhenUsed/>
    <w:qFormat/>
    <w:rsid w:val="00EE1ECC"/>
    <w:pPr>
      <w:suppressAutoHyphens w:val="0"/>
      <w:spacing w:after="0" w:line="240" w:lineRule="auto"/>
      <w:ind w:leftChars="0" w:left="0" w:firstLineChars="0" w:firstLine="0"/>
      <w:textDirection w:val="lrTb"/>
      <w:textAlignment w:val="auto"/>
      <w:outlineLvl w:val="9"/>
    </w:pPr>
    <w:rPr>
      <w:rFonts w:cs="Times New Roman"/>
      <w:position w:val="0"/>
      <w:sz w:val="20"/>
      <w:szCs w:val="20"/>
    </w:rPr>
  </w:style>
  <w:style w:type="character" w:customStyle="1" w:styleId="TextonotapieCar">
    <w:name w:val="Texto nota pie Car"/>
    <w:aliases w:val="Ftnote Txt 11ptG Car,Car Car,FN Car1,FN Car Car,Footnote Text Char1 Car,Footnote Text Char Char1 Car,Footnote Text Char4 Char Char Car,Footnote Text Char1 Char1 Char1 Char Car,Footnote Text Char Char1 Char1 Char Char Car,cita Car"/>
    <w:basedOn w:val="Fuentedeprrafopredeter"/>
    <w:link w:val="Textonotapie"/>
    <w:uiPriority w:val="99"/>
    <w:rsid w:val="00EE1ECC"/>
    <w:rPr>
      <w:rFonts w:cs="Times New Roman"/>
      <w:sz w:val="20"/>
      <w:szCs w:val="20"/>
      <w:lang w:eastAsia="en-US"/>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uiPriority w:val="99"/>
    <w:unhideWhenUsed/>
    <w:qFormat/>
    <w:rsid w:val="00EE1ECC"/>
    <w:rPr>
      <w:vertAlign w:val="superscript"/>
    </w:rPr>
  </w:style>
  <w:style w:type="character" w:styleId="Refdecomentario">
    <w:name w:val="annotation reference"/>
    <w:basedOn w:val="Fuentedeprrafopredeter"/>
    <w:uiPriority w:val="99"/>
    <w:semiHidden/>
    <w:unhideWhenUsed/>
    <w:rsid w:val="00646E88"/>
    <w:rPr>
      <w:sz w:val="16"/>
      <w:szCs w:val="16"/>
    </w:rPr>
  </w:style>
  <w:style w:type="paragraph" w:styleId="Textocomentario">
    <w:name w:val="annotation text"/>
    <w:basedOn w:val="Normal"/>
    <w:link w:val="TextocomentarioCar"/>
    <w:uiPriority w:val="99"/>
    <w:unhideWhenUsed/>
    <w:rsid w:val="00646E88"/>
    <w:pPr>
      <w:spacing w:line="240" w:lineRule="auto"/>
    </w:pPr>
    <w:rPr>
      <w:sz w:val="20"/>
      <w:szCs w:val="20"/>
    </w:rPr>
  </w:style>
  <w:style w:type="character" w:customStyle="1" w:styleId="TextocomentarioCar">
    <w:name w:val="Texto comentario Car"/>
    <w:basedOn w:val="Fuentedeprrafopredeter"/>
    <w:link w:val="Textocomentario"/>
    <w:uiPriority w:val="99"/>
    <w:rsid w:val="00646E8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46E88"/>
    <w:rPr>
      <w:b/>
      <w:bCs/>
    </w:rPr>
  </w:style>
  <w:style w:type="character" w:customStyle="1" w:styleId="AsuntodelcomentarioCar">
    <w:name w:val="Asunto del comentario Car"/>
    <w:basedOn w:val="TextocomentarioCar"/>
    <w:link w:val="Asuntodelcomentario"/>
    <w:uiPriority w:val="99"/>
    <w:semiHidden/>
    <w:rsid w:val="00646E88"/>
    <w:rPr>
      <w:b/>
      <w:bCs/>
      <w:position w:val="-1"/>
      <w:sz w:val="20"/>
      <w:szCs w:val="20"/>
      <w:lang w:eastAsia="en-US"/>
    </w:rPr>
  </w:style>
  <w:style w:type="paragraph" w:customStyle="1" w:styleId="Cuadrculamediana2-nfasis11">
    <w:name w:val="Cuadrícula mediana 2 - Énfasis 11"/>
    <w:uiPriority w:val="1"/>
    <w:qFormat/>
    <w:rsid w:val="00854909"/>
    <w:pPr>
      <w:spacing w:after="0" w:line="240" w:lineRule="auto"/>
      <w:ind w:firstLine="0"/>
    </w:pPr>
    <w:rPr>
      <w:rFonts w:eastAsia="Yu Mincho" w:cs="Times New Roman"/>
      <w:lang w:val="es-PE" w:eastAsia="ja-JP"/>
    </w:rPr>
  </w:style>
  <w:style w:type="character" w:customStyle="1" w:styleId="Mencinsinresolver2">
    <w:name w:val="Mención sin resolver2"/>
    <w:basedOn w:val="Fuentedeprrafopredeter"/>
    <w:uiPriority w:val="99"/>
    <w:semiHidden/>
    <w:unhideWhenUsed/>
    <w:rsid w:val="00B03844"/>
    <w:rPr>
      <w:color w:val="605E5C"/>
      <w:shd w:val="clear" w:color="auto" w:fill="E1DFDD"/>
    </w:rPr>
  </w:style>
  <w:style w:type="character" w:customStyle="1" w:styleId="normaltextrun">
    <w:name w:val="normaltextrun"/>
    <w:basedOn w:val="Fuentedeprrafopredeter"/>
    <w:rsid w:val="00E10C78"/>
  </w:style>
  <w:style w:type="paragraph" w:customStyle="1" w:styleId="paragraph">
    <w:name w:val="paragraph"/>
    <w:basedOn w:val="Normal"/>
    <w:rsid w:val="00E10C7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PE"/>
    </w:rPr>
  </w:style>
  <w:style w:type="character" w:customStyle="1" w:styleId="Mencinsinresolver3">
    <w:name w:val="Mención sin resolver3"/>
    <w:basedOn w:val="Fuentedeprrafopredeter"/>
    <w:uiPriority w:val="99"/>
    <w:semiHidden/>
    <w:unhideWhenUsed/>
    <w:rsid w:val="0059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RK6qV1ngENb+bOclhmC5VErkA==">CgMxLjAyCGguZ2pkZ3hzMgloLjN6bnlzaDc4AHIhMWNyemtNdFltNlVBa3E5RkxvUTVJdWFHUjBNdUF5Wlk3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USUARIO</cp:lastModifiedBy>
  <cp:revision>2</cp:revision>
  <dcterms:created xsi:type="dcterms:W3CDTF">2024-09-28T17:28:00Z</dcterms:created>
  <dcterms:modified xsi:type="dcterms:W3CDTF">2024-09-28T17:28:00Z</dcterms:modified>
</cp:coreProperties>
</file>