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735A" w14:textId="6BFA737B" w:rsidR="006F2E4F" w:rsidRPr="006F2E4F" w:rsidRDefault="004C085E" w:rsidP="004C085E">
      <w:pPr>
        <w:pStyle w:val="paragraph"/>
        <w:spacing w:before="0" w:beforeAutospacing="0" w:after="0" w:afterAutospacing="0"/>
        <w:jc w:val="center"/>
        <w:textAlignment w:val="baseline"/>
        <w:rPr>
          <w:rStyle w:val="normaltextrun"/>
          <w:rFonts w:ascii="Arial" w:hAnsi="Arial" w:cs="Arial"/>
          <w:bCs/>
          <w:color w:val="000000" w:themeColor="text1"/>
          <w:lang w:val="es-ES"/>
        </w:rPr>
      </w:pPr>
      <w:r w:rsidRPr="00822630">
        <w:rPr>
          <w:rStyle w:val="normaltextrun"/>
          <w:rFonts w:ascii="Arial" w:hAnsi="Arial" w:cs="Arial"/>
          <w:b/>
          <w:bCs/>
          <w:color w:val="000000" w:themeColor="text1"/>
          <w:sz w:val="22"/>
          <w:szCs w:val="22"/>
          <w:u w:val="single"/>
          <w:lang w:val="es-ES"/>
        </w:rPr>
        <w:t>NOTA DE PRENSA</w:t>
      </w:r>
      <w:r w:rsidR="00C0182A">
        <w:rPr>
          <w:rStyle w:val="normaltextrun"/>
          <w:rFonts w:ascii="Arial" w:hAnsi="Arial" w:cs="Arial"/>
          <w:b/>
          <w:bCs/>
          <w:color w:val="000000" w:themeColor="text1"/>
          <w:sz w:val="22"/>
          <w:szCs w:val="22"/>
          <w:u w:val="single"/>
          <w:lang w:val="es-ES"/>
        </w:rPr>
        <w:br/>
      </w:r>
      <w:r w:rsidR="006F2E4F" w:rsidRPr="006F2E4F">
        <w:rPr>
          <w:rStyle w:val="normaltextrun"/>
          <w:rFonts w:ascii="Arial" w:hAnsi="Arial" w:cs="Arial"/>
          <w:bCs/>
          <w:color w:val="000000" w:themeColor="text1"/>
          <w:lang w:val="es-ES"/>
        </w:rPr>
        <w:t xml:space="preserve">A través de </w:t>
      </w:r>
      <w:proofErr w:type="spellStart"/>
      <w:r w:rsidR="006F2E4F" w:rsidRPr="006F2E4F">
        <w:rPr>
          <w:rStyle w:val="normaltextrun"/>
          <w:rFonts w:ascii="Arial" w:hAnsi="Arial" w:cs="Arial"/>
          <w:bCs/>
          <w:color w:val="000000" w:themeColor="text1"/>
          <w:lang w:val="es-ES"/>
        </w:rPr>
        <w:t>Sanipes</w:t>
      </w:r>
      <w:proofErr w:type="spellEnd"/>
    </w:p>
    <w:p w14:paraId="1FCBACD1" w14:textId="77777777" w:rsidR="004C085E" w:rsidRPr="00BE4CF0" w:rsidRDefault="004C085E" w:rsidP="004C085E">
      <w:pPr>
        <w:pStyle w:val="paragraph"/>
        <w:spacing w:before="0" w:beforeAutospacing="0" w:after="0" w:afterAutospacing="0"/>
        <w:jc w:val="center"/>
        <w:textAlignment w:val="baseline"/>
        <w:rPr>
          <w:rStyle w:val="normaltextrun"/>
          <w:rFonts w:ascii="Arial" w:hAnsi="Arial" w:cs="Arial"/>
          <w:b/>
          <w:bCs/>
          <w:color w:val="000000" w:themeColor="text1"/>
          <w:sz w:val="10"/>
          <w:szCs w:val="10"/>
          <w:u w:val="single"/>
          <w:lang w:val="es-ES"/>
        </w:rPr>
      </w:pPr>
    </w:p>
    <w:p w14:paraId="63B18AEA" w14:textId="09E6DDCD" w:rsidR="004C085E" w:rsidRPr="006F2E4F" w:rsidRDefault="00383054" w:rsidP="004C085E">
      <w:pPr>
        <w:ind w:left="1" w:hanging="3"/>
        <w:jc w:val="center"/>
        <w:rPr>
          <w:rFonts w:ascii="Arial" w:eastAsia="Times New Roman" w:hAnsi="Arial" w:cs="Arial"/>
          <w:b/>
          <w:bCs/>
          <w:color w:val="000000" w:themeColor="text1"/>
          <w:sz w:val="28"/>
          <w:szCs w:val="28"/>
          <w:lang w:eastAsia="es-PE"/>
        </w:rPr>
      </w:pPr>
      <w:r w:rsidRPr="006F2E4F">
        <w:rPr>
          <w:rFonts w:ascii="Arial" w:eastAsia="Times New Roman" w:hAnsi="Arial" w:cs="Arial"/>
          <w:b/>
          <w:bCs/>
          <w:color w:val="000000" w:themeColor="text1"/>
          <w:sz w:val="28"/>
          <w:szCs w:val="28"/>
          <w:lang w:val="es-ES" w:eastAsia="es-PE"/>
        </w:rPr>
        <w:t>PRODUCE</w:t>
      </w:r>
      <w:r w:rsidR="006F2E4F" w:rsidRPr="006F2E4F">
        <w:rPr>
          <w:rFonts w:ascii="Arial" w:eastAsia="Times New Roman" w:hAnsi="Arial" w:cs="Arial"/>
          <w:b/>
          <w:bCs/>
          <w:color w:val="000000" w:themeColor="text1"/>
          <w:sz w:val="28"/>
          <w:szCs w:val="28"/>
          <w:lang w:val="es-ES" w:eastAsia="es-PE"/>
        </w:rPr>
        <w:t xml:space="preserve"> nombra a cinco</w:t>
      </w:r>
      <w:r w:rsidR="004C085E" w:rsidRPr="006F2E4F">
        <w:rPr>
          <w:rFonts w:ascii="Arial" w:eastAsia="Times New Roman" w:hAnsi="Arial" w:cs="Arial"/>
          <w:b/>
          <w:bCs/>
          <w:color w:val="000000" w:themeColor="text1"/>
          <w:sz w:val="28"/>
          <w:szCs w:val="28"/>
          <w:lang w:val="es-ES" w:eastAsia="es-PE"/>
        </w:rPr>
        <w:t xml:space="preserve"> lideresas de la inocuidad y concientiza a 800 alumnas en </w:t>
      </w:r>
      <w:r w:rsidR="006F2E4F" w:rsidRPr="006F2E4F">
        <w:rPr>
          <w:rFonts w:ascii="Arial" w:eastAsia="Times New Roman" w:hAnsi="Arial" w:cs="Arial"/>
          <w:b/>
          <w:bCs/>
          <w:color w:val="000000" w:themeColor="text1"/>
          <w:sz w:val="28"/>
          <w:szCs w:val="28"/>
          <w:lang w:val="es-ES" w:eastAsia="es-PE"/>
        </w:rPr>
        <w:t xml:space="preserve">el </w:t>
      </w:r>
      <w:r w:rsidR="004C085E" w:rsidRPr="006F2E4F">
        <w:rPr>
          <w:rFonts w:ascii="Arial" w:eastAsia="Times New Roman" w:hAnsi="Arial" w:cs="Arial"/>
          <w:b/>
          <w:bCs/>
          <w:color w:val="000000" w:themeColor="text1"/>
          <w:sz w:val="28"/>
          <w:szCs w:val="28"/>
          <w:lang w:val="es-ES" w:eastAsia="es-PE"/>
        </w:rPr>
        <w:t>colegio Rosa de Santa María</w:t>
      </w:r>
      <w:r w:rsidR="004C085E" w:rsidRPr="006F2E4F">
        <w:rPr>
          <w:rFonts w:ascii="Arial" w:eastAsia="Times New Roman" w:hAnsi="Arial" w:cs="Arial"/>
          <w:b/>
          <w:bCs/>
          <w:color w:val="000000" w:themeColor="text1"/>
          <w:sz w:val="28"/>
          <w:szCs w:val="28"/>
          <w:lang w:eastAsia="es-PE"/>
        </w:rPr>
        <w:t> </w:t>
      </w:r>
    </w:p>
    <w:p w14:paraId="2D2B2DAB" w14:textId="77777777" w:rsidR="004C085E" w:rsidRPr="006F2E4F" w:rsidRDefault="004C085E" w:rsidP="006F2E4F">
      <w:pPr>
        <w:pStyle w:val="Prrafodelista"/>
        <w:numPr>
          <w:ilvl w:val="0"/>
          <w:numId w:val="2"/>
        </w:numPr>
        <w:ind w:leftChars="0" w:firstLineChars="0"/>
        <w:jc w:val="both"/>
        <w:rPr>
          <w:rFonts w:ascii="Arial" w:eastAsia="Times New Roman" w:hAnsi="Arial" w:cs="Arial"/>
          <w:color w:val="000000" w:themeColor="text1"/>
          <w:lang w:eastAsia="es-PE"/>
        </w:rPr>
      </w:pPr>
      <w:r w:rsidRPr="006F2E4F">
        <w:rPr>
          <w:rFonts w:ascii="Arial" w:eastAsia="Times New Roman" w:hAnsi="Arial" w:cs="Arial"/>
          <w:i/>
          <w:iCs/>
          <w:color w:val="000000" w:themeColor="text1"/>
          <w:lang w:val="es-ES" w:eastAsia="es-PE"/>
        </w:rPr>
        <w:t>Escolares designadas asumieron el compromiso de promover la cultura de la inocuidad para reducir la propagación de enfermedades de transmisión alimentaria.</w:t>
      </w:r>
      <w:r w:rsidRPr="006F2E4F">
        <w:rPr>
          <w:rFonts w:ascii="Arial" w:eastAsia="Times New Roman" w:hAnsi="Arial" w:cs="Arial"/>
          <w:color w:val="000000" w:themeColor="text1"/>
          <w:lang w:eastAsia="es-PE"/>
        </w:rPr>
        <w:t> </w:t>
      </w:r>
    </w:p>
    <w:p w14:paraId="6C83B9DB" w14:textId="3255E59C" w:rsidR="004C085E" w:rsidRPr="00D54EB3" w:rsidRDefault="004C085E" w:rsidP="004C085E">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En el marco de la campaña “La inocuidad de los alimentos es un asunto de todos”, la Autoridad Nacional de Sanidad e Inocuidad en Pesca y Acuicultura (Sanipes), entidad adscrita al Ministerio de la Producción (</w:t>
      </w:r>
      <w:r w:rsidR="006F2E4F">
        <w:rPr>
          <w:rFonts w:ascii="Arial" w:eastAsia="Times New Roman" w:hAnsi="Arial" w:cs="Arial"/>
          <w:color w:val="000000" w:themeColor="text1"/>
          <w:lang w:val="es-ES" w:eastAsia="es-PE"/>
        </w:rPr>
        <w:t>PRODUCE),</w:t>
      </w:r>
      <w:r w:rsidRPr="00D54EB3">
        <w:rPr>
          <w:rFonts w:ascii="Arial" w:eastAsia="Times New Roman" w:hAnsi="Arial" w:cs="Arial"/>
          <w:color w:val="000000" w:themeColor="text1"/>
          <w:lang w:val="es-ES" w:eastAsia="es-PE"/>
        </w:rPr>
        <w:t xml:space="preserve"> designó en una ceremonia a </w:t>
      </w:r>
      <w:r w:rsidR="006F2E4F">
        <w:rPr>
          <w:rFonts w:ascii="Arial" w:eastAsia="Times New Roman" w:hAnsi="Arial" w:cs="Arial"/>
          <w:color w:val="000000" w:themeColor="text1"/>
          <w:lang w:val="es-ES" w:eastAsia="es-PE"/>
        </w:rPr>
        <w:t>cinco</w:t>
      </w:r>
      <w:r w:rsidRPr="00D54EB3">
        <w:rPr>
          <w:rFonts w:ascii="Arial" w:eastAsia="Times New Roman" w:hAnsi="Arial" w:cs="Arial"/>
          <w:color w:val="000000" w:themeColor="text1"/>
          <w:lang w:val="es-ES" w:eastAsia="es-PE"/>
        </w:rPr>
        <w:t xml:space="preserve"> lideresas de la inocuidad de los alimentos en la Institución Educativa Rosa de Santa María, quienes asumi</w:t>
      </w:r>
      <w:r>
        <w:rPr>
          <w:rFonts w:ascii="Arial" w:eastAsia="Times New Roman" w:hAnsi="Arial" w:cs="Arial"/>
          <w:color w:val="000000" w:themeColor="text1"/>
          <w:lang w:val="es-ES" w:eastAsia="es-PE"/>
        </w:rPr>
        <w:t>eron</w:t>
      </w:r>
      <w:r w:rsidRPr="00D54EB3">
        <w:rPr>
          <w:rFonts w:ascii="Arial" w:eastAsia="Times New Roman" w:hAnsi="Arial" w:cs="Arial"/>
          <w:color w:val="000000" w:themeColor="text1"/>
          <w:lang w:val="es-ES" w:eastAsia="es-PE"/>
        </w:rPr>
        <w:t xml:space="preserve"> el compromiso</w:t>
      </w:r>
      <w:r w:rsidR="00444DD9">
        <w:rPr>
          <w:rFonts w:ascii="Arial" w:eastAsia="Times New Roman" w:hAnsi="Arial" w:cs="Arial"/>
          <w:color w:val="000000" w:themeColor="text1"/>
          <w:lang w:val="es-ES" w:eastAsia="es-PE"/>
        </w:rPr>
        <w:t xml:space="preserve"> de</w:t>
      </w:r>
      <w:r w:rsidRPr="00D54EB3">
        <w:rPr>
          <w:rFonts w:ascii="Arial" w:eastAsia="Times New Roman" w:hAnsi="Arial" w:cs="Arial"/>
          <w:color w:val="000000" w:themeColor="text1"/>
          <w:lang w:val="es-ES" w:eastAsia="es-PE"/>
        </w:rPr>
        <w:t xml:space="preserve"> promover las buenas prácticas de inocuidad para reducir los riesgos de salud por enfermedades de transmisión alimentaria</w:t>
      </w:r>
      <w:r>
        <w:rPr>
          <w:rFonts w:ascii="Arial" w:eastAsia="Times New Roman" w:hAnsi="Arial" w:cs="Arial"/>
          <w:color w:val="000000" w:themeColor="text1"/>
          <w:lang w:val="es-ES" w:eastAsia="es-PE"/>
        </w:rPr>
        <w:t xml:space="preserve"> (</w:t>
      </w:r>
      <w:proofErr w:type="spellStart"/>
      <w:r>
        <w:rPr>
          <w:rFonts w:ascii="Arial" w:eastAsia="Times New Roman" w:hAnsi="Arial" w:cs="Arial"/>
          <w:color w:val="000000" w:themeColor="text1"/>
          <w:lang w:val="es-ES" w:eastAsia="es-PE"/>
        </w:rPr>
        <w:t>ETAs</w:t>
      </w:r>
      <w:proofErr w:type="spellEnd"/>
      <w:r>
        <w:rPr>
          <w:rFonts w:ascii="Arial" w:eastAsia="Times New Roman" w:hAnsi="Arial" w:cs="Arial"/>
          <w:color w:val="000000" w:themeColor="text1"/>
          <w:lang w:val="es-ES" w:eastAsia="es-PE"/>
        </w:rPr>
        <w:t>)</w:t>
      </w:r>
      <w:r w:rsidRPr="00D54EB3">
        <w:rPr>
          <w:rFonts w:ascii="Arial" w:eastAsia="Times New Roman" w:hAnsi="Arial" w:cs="Arial"/>
          <w:color w:val="000000" w:themeColor="text1"/>
          <w:lang w:val="es-ES" w:eastAsia="es-PE"/>
        </w:rPr>
        <w:t>.</w:t>
      </w:r>
      <w:r w:rsidRPr="00D54EB3">
        <w:rPr>
          <w:rFonts w:ascii="Arial" w:eastAsia="Times New Roman" w:hAnsi="Arial" w:cs="Arial"/>
          <w:color w:val="000000" w:themeColor="text1"/>
          <w:lang w:eastAsia="es-PE"/>
        </w:rPr>
        <w:t> </w:t>
      </w:r>
    </w:p>
    <w:p w14:paraId="147E045E" w14:textId="77777777" w:rsidR="004C085E" w:rsidRDefault="004C085E" w:rsidP="004C085E">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Las lideresas escolares, representantes de sus grados de primero a quinto de secundaria, se encargarán de transmitir información adecuada entre sus compañeros, su familia y su comunidad</w:t>
      </w:r>
      <w:r>
        <w:rPr>
          <w:rFonts w:ascii="Arial" w:eastAsia="Times New Roman" w:hAnsi="Arial" w:cs="Arial"/>
          <w:color w:val="000000" w:themeColor="text1"/>
          <w:lang w:val="es-ES" w:eastAsia="es-PE"/>
        </w:rPr>
        <w:t>,</w:t>
      </w:r>
      <w:r w:rsidRPr="00D54EB3">
        <w:rPr>
          <w:rFonts w:ascii="Arial" w:eastAsia="Times New Roman" w:hAnsi="Arial" w:cs="Arial"/>
          <w:color w:val="000000" w:themeColor="text1"/>
          <w:lang w:val="es-ES" w:eastAsia="es-PE"/>
        </w:rPr>
        <w:t xml:space="preserve"> para así evitar la propagación de enfermedades de transmisión alimentaria. </w:t>
      </w:r>
      <w:r w:rsidRPr="00D54EB3">
        <w:rPr>
          <w:rFonts w:ascii="Arial" w:eastAsia="Times New Roman" w:hAnsi="Arial" w:cs="Arial"/>
          <w:color w:val="000000" w:themeColor="text1"/>
          <w:lang w:eastAsia="es-PE"/>
        </w:rPr>
        <w:t> </w:t>
      </w:r>
    </w:p>
    <w:p w14:paraId="417A3CBA" w14:textId="77777777" w:rsidR="004C085E" w:rsidRPr="00F76391" w:rsidRDefault="004C085E" w:rsidP="004C085E">
      <w:pPr>
        <w:ind w:left="0" w:hanging="2"/>
        <w:jc w:val="both"/>
        <w:rPr>
          <w:rFonts w:ascii="Arial" w:eastAsia="Times New Roman" w:hAnsi="Arial" w:cs="Arial"/>
          <w:color w:val="000000" w:themeColor="text1"/>
          <w:lang w:eastAsia="es-PE"/>
        </w:rPr>
      </w:pPr>
      <w:r w:rsidRPr="00F76391">
        <w:rPr>
          <w:rFonts w:ascii="Arial" w:eastAsia="Times New Roman" w:hAnsi="Arial" w:cs="Arial"/>
          <w:color w:val="000000" w:themeColor="text1"/>
          <w:lang w:eastAsia="es-PE"/>
        </w:rPr>
        <w:t>La directora de</w:t>
      </w:r>
      <w:r>
        <w:rPr>
          <w:rFonts w:ascii="Arial" w:eastAsia="Times New Roman" w:hAnsi="Arial" w:cs="Arial"/>
          <w:color w:val="000000" w:themeColor="text1"/>
          <w:lang w:eastAsia="es-PE"/>
        </w:rPr>
        <w:t xml:space="preserve"> la Dirección de</w:t>
      </w:r>
      <w:r w:rsidRPr="00F76391">
        <w:rPr>
          <w:rFonts w:ascii="Arial" w:eastAsia="Times New Roman" w:hAnsi="Arial" w:cs="Arial"/>
          <w:color w:val="000000" w:themeColor="text1"/>
          <w:lang w:eastAsia="es-PE"/>
        </w:rPr>
        <w:t xml:space="preserve"> Sanidad e Inocuidad de Sanipes, Muriel G</w:t>
      </w:r>
      <w:r>
        <w:rPr>
          <w:rFonts w:ascii="Arial" w:eastAsia="Times New Roman" w:hAnsi="Arial" w:cs="Arial"/>
          <w:color w:val="000000" w:themeColor="text1"/>
          <w:lang w:eastAsia="es-PE"/>
        </w:rPr>
        <w:t>ó</w:t>
      </w:r>
      <w:r w:rsidRPr="00F76391">
        <w:rPr>
          <w:rFonts w:ascii="Arial" w:eastAsia="Times New Roman" w:hAnsi="Arial" w:cs="Arial"/>
          <w:color w:val="000000" w:themeColor="text1"/>
          <w:lang w:eastAsia="es-PE"/>
        </w:rPr>
        <w:t>me</w:t>
      </w:r>
      <w:r>
        <w:rPr>
          <w:rFonts w:ascii="Arial" w:eastAsia="Times New Roman" w:hAnsi="Arial" w:cs="Arial"/>
          <w:color w:val="000000" w:themeColor="text1"/>
          <w:lang w:eastAsia="es-PE"/>
        </w:rPr>
        <w:t>z</w:t>
      </w:r>
      <w:r w:rsidRPr="00F76391">
        <w:rPr>
          <w:rFonts w:ascii="Arial" w:eastAsia="Times New Roman" w:hAnsi="Arial" w:cs="Arial"/>
          <w:color w:val="000000" w:themeColor="text1"/>
          <w:lang w:eastAsia="es-PE"/>
        </w:rPr>
        <w:t>-Sánchez, agradeció que el colegio Rosa</w:t>
      </w:r>
      <w:r>
        <w:rPr>
          <w:rFonts w:ascii="Arial" w:eastAsia="Times New Roman" w:hAnsi="Arial" w:cs="Arial"/>
          <w:color w:val="000000" w:themeColor="text1"/>
          <w:lang w:eastAsia="es-PE"/>
        </w:rPr>
        <w:t xml:space="preserve"> de</w:t>
      </w:r>
      <w:r w:rsidRPr="00F76391">
        <w:rPr>
          <w:rFonts w:ascii="Arial" w:eastAsia="Times New Roman" w:hAnsi="Arial" w:cs="Arial"/>
          <w:color w:val="000000" w:themeColor="text1"/>
          <w:lang w:eastAsia="es-PE"/>
        </w:rPr>
        <w:t xml:space="preserve"> Santa María se haya sumado a esta campaña, </w:t>
      </w:r>
      <w:r>
        <w:rPr>
          <w:rFonts w:ascii="Arial" w:eastAsia="Times New Roman" w:hAnsi="Arial" w:cs="Arial"/>
          <w:color w:val="000000" w:themeColor="text1"/>
          <w:lang w:eastAsia="es-PE"/>
        </w:rPr>
        <w:t>cuyo fin es</w:t>
      </w:r>
      <w:r w:rsidRPr="00F76391">
        <w:rPr>
          <w:rFonts w:ascii="Arial" w:eastAsia="Times New Roman" w:hAnsi="Arial" w:cs="Arial"/>
          <w:color w:val="000000" w:themeColor="text1"/>
          <w:lang w:eastAsia="es-PE"/>
        </w:rPr>
        <w:t xml:space="preserve"> concientizar a los consumidores de productos hidrobiológicos.</w:t>
      </w:r>
    </w:p>
    <w:p w14:paraId="0978765A" w14:textId="74FCDFF8" w:rsidR="004C085E" w:rsidRPr="006E46A7" w:rsidRDefault="004C085E" w:rsidP="004C085E">
      <w:pPr>
        <w:ind w:left="0" w:hanging="2"/>
        <w:jc w:val="both"/>
        <w:rPr>
          <w:rFonts w:ascii="Arial" w:eastAsia="Times New Roman" w:hAnsi="Arial" w:cs="Arial"/>
          <w:color w:val="000000" w:themeColor="text1"/>
          <w:lang w:eastAsia="es-PE"/>
        </w:rPr>
      </w:pPr>
      <w:r w:rsidRPr="006E46A7">
        <w:rPr>
          <w:rFonts w:ascii="Arial" w:eastAsia="Times New Roman" w:hAnsi="Arial" w:cs="Arial"/>
          <w:color w:val="000000" w:themeColor="text1"/>
          <w:lang w:eastAsia="es-PE"/>
        </w:rPr>
        <w:t>“Estamos muy contentos de que el colegio haya interiorizado esta campaña y que la vayan a replicar en sus alumn</w:t>
      </w:r>
      <w:r w:rsidR="00A10ACE">
        <w:rPr>
          <w:rFonts w:ascii="Arial" w:eastAsia="Times New Roman" w:hAnsi="Arial" w:cs="Arial"/>
          <w:color w:val="000000" w:themeColor="text1"/>
          <w:lang w:eastAsia="es-PE"/>
        </w:rPr>
        <w:t>a</w:t>
      </w:r>
      <w:r w:rsidRPr="006E46A7">
        <w:rPr>
          <w:rFonts w:ascii="Arial" w:eastAsia="Times New Roman" w:hAnsi="Arial" w:cs="Arial"/>
          <w:color w:val="000000" w:themeColor="text1"/>
          <w:lang w:eastAsia="es-PE"/>
        </w:rPr>
        <w:t xml:space="preserve">s. Las lideresas van a tener que transmitir los conocimientos sobre las </w:t>
      </w:r>
      <w:proofErr w:type="spellStart"/>
      <w:r w:rsidRPr="006E46A7">
        <w:rPr>
          <w:rFonts w:ascii="Arial" w:eastAsia="Times New Roman" w:hAnsi="Arial" w:cs="Arial"/>
          <w:color w:val="000000" w:themeColor="text1"/>
          <w:lang w:eastAsia="es-PE"/>
        </w:rPr>
        <w:t>ETAs</w:t>
      </w:r>
      <w:proofErr w:type="spellEnd"/>
      <w:r w:rsidRPr="006E46A7">
        <w:rPr>
          <w:rFonts w:ascii="Arial" w:eastAsia="Times New Roman" w:hAnsi="Arial" w:cs="Arial"/>
          <w:color w:val="000000" w:themeColor="text1"/>
          <w:lang w:eastAsia="es-PE"/>
        </w:rPr>
        <w:t xml:space="preserve"> a sus compañeras, para que</w:t>
      </w:r>
      <w:r>
        <w:rPr>
          <w:rFonts w:ascii="Arial" w:eastAsia="Times New Roman" w:hAnsi="Arial" w:cs="Arial"/>
          <w:color w:val="000000" w:themeColor="text1"/>
          <w:lang w:eastAsia="es-PE"/>
        </w:rPr>
        <w:t xml:space="preserve"> así</w:t>
      </w:r>
      <w:r w:rsidRPr="006E46A7">
        <w:rPr>
          <w:rFonts w:ascii="Arial" w:eastAsia="Times New Roman" w:hAnsi="Arial" w:cs="Arial"/>
          <w:color w:val="000000" w:themeColor="text1"/>
          <w:lang w:eastAsia="es-PE"/>
        </w:rPr>
        <w:t xml:space="preserve"> ellas lo hagan con sus amigos y familias. Lo que queremos es generar un efecto multiplicador”</w:t>
      </w:r>
      <w:r w:rsidR="00860C9A">
        <w:rPr>
          <w:rFonts w:ascii="Arial" w:eastAsia="Times New Roman" w:hAnsi="Arial" w:cs="Arial"/>
          <w:color w:val="000000" w:themeColor="text1"/>
          <w:lang w:eastAsia="es-PE"/>
        </w:rPr>
        <w:t>, subrayó</w:t>
      </w:r>
      <w:r w:rsidRPr="006E46A7">
        <w:rPr>
          <w:rFonts w:ascii="Arial" w:eastAsia="Times New Roman" w:hAnsi="Arial" w:cs="Arial"/>
          <w:color w:val="000000" w:themeColor="text1"/>
          <w:lang w:eastAsia="es-PE"/>
        </w:rPr>
        <w:t>.</w:t>
      </w:r>
    </w:p>
    <w:p w14:paraId="6D6118CF" w14:textId="77777777" w:rsidR="004C085E" w:rsidRPr="00D54EB3" w:rsidRDefault="004C085E" w:rsidP="004C085E">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 xml:space="preserve">Durante el evento, Sanipes también concientizó de manera lúdica a aproximadamente 800 alumnas de secundaria del </w:t>
      </w:r>
      <w:r>
        <w:rPr>
          <w:rFonts w:ascii="Arial" w:eastAsia="Times New Roman" w:hAnsi="Arial" w:cs="Arial"/>
          <w:color w:val="000000" w:themeColor="text1"/>
          <w:lang w:val="es-ES" w:eastAsia="es-PE"/>
        </w:rPr>
        <w:t>c</w:t>
      </w:r>
      <w:r w:rsidRPr="00D54EB3">
        <w:rPr>
          <w:rFonts w:ascii="Arial" w:eastAsia="Times New Roman" w:hAnsi="Arial" w:cs="Arial"/>
          <w:color w:val="000000" w:themeColor="text1"/>
          <w:lang w:val="es-ES" w:eastAsia="es-PE"/>
        </w:rPr>
        <w:t xml:space="preserve">olegio con la obra de teatro </w:t>
      </w:r>
      <w:r w:rsidRPr="00D54EB3">
        <w:rPr>
          <w:rFonts w:ascii="Arial" w:eastAsia="Times New Roman" w:hAnsi="Arial" w:cs="Arial"/>
          <w:i/>
          <w:iCs/>
          <w:color w:val="000000" w:themeColor="text1"/>
          <w:lang w:val="es-ES" w:eastAsia="es-PE"/>
        </w:rPr>
        <w:t>Un cuento de inocuidad</w:t>
      </w:r>
      <w:r w:rsidRPr="00D54EB3">
        <w:rPr>
          <w:rFonts w:ascii="Arial" w:eastAsia="Times New Roman" w:hAnsi="Arial" w:cs="Arial"/>
          <w:color w:val="000000" w:themeColor="text1"/>
          <w:lang w:val="es-ES" w:eastAsia="es-PE"/>
        </w:rPr>
        <w:t>, que abordó cuáles son las 5 claves de la inocuidad. Luego, las estudiantes participaron del juego de la ruleta, en el que respondieron preguntas sobre las buenas prácticas de la inocuidad. </w:t>
      </w:r>
      <w:r w:rsidRPr="00D54EB3">
        <w:rPr>
          <w:rFonts w:ascii="Arial" w:eastAsia="Times New Roman" w:hAnsi="Arial" w:cs="Arial"/>
          <w:color w:val="000000" w:themeColor="text1"/>
          <w:lang w:eastAsia="es-PE"/>
        </w:rPr>
        <w:t> </w:t>
      </w:r>
    </w:p>
    <w:p w14:paraId="4101AD4B" w14:textId="77777777" w:rsidR="004C085E" w:rsidRPr="00D54EB3" w:rsidRDefault="004C085E" w:rsidP="004C085E">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 xml:space="preserve">A la fecha, Sanipes ha nombrado 16 líderes/lideresas de la inocuidad de los alimentos en tres colegios emblemáticos: 5 en la Institución Educativa Mercedes de Carbonera, 5 en la Institución Educativa Ricardo </w:t>
      </w:r>
      <w:proofErr w:type="spellStart"/>
      <w:r w:rsidRPr="00D54EB3">
        <w:rPr>
          <w:rFonts w:ascii="Arial" w:eastAsia="Times New Roman" w:hAnsi="Arial" w:cs="Arial"/>
          <w:color w:val="000000" w:themeColor="text1"/>
          <w:lang w:val="es-ES" w:eastAsia="es-PE"/>
        </w:rPr>
        <w:t>Bentín</w:t>
      </w:r>
      <w:proofErr w:type="spellEnd"/>
      <w:r w:rsidRPr="00D54EB3">
        <w:rPr>
          <w:rFonts w:ascii="Arial" w:eastAsia="Times New Roman" w:hAnsi="Arial" w:cs="Arial"/>
          <w:color w:val="000000" w:themeColor="text1"/>
          <w:lang w:val="es-ES" w:eastAsia="es-PE"/>
        </w:rPr>
        <w:t xml:space="preserve"> y 6 en la Institución Educativa Argentina. En los tres colegios en total se capacitó a más de 1300 estudiantes de nivel secundario.</w:t>
      </w:r>
      <w:r w:rsidRPr="00D54EB3">
        <w:rPr>
          <w:rFonts w:ascii="Arial" w:eastAsia="Times New Roman" w:hAnsi="Arial" w:cs="Arial"/>
          <w:color w:val="000000" w:themeColor="text1"/>
          <w:lang w:eastAsia="es-PE"/>
        </w:rPr>
        <w:t> </w:t>
      </w:r>
    </w:p>
    <w:p w14:paraId="7861E5E4" w14:textId="77777777" w:rsidR="004C085E" w:rsidRPr="00D54EB3" w:rsidRDefault="004C085E" w:rsidP="004C085E">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En lo que resta del 2024, la autoridad sanitaria tiene previsto orientar a aproximadamente 1000 estudiantes de nivel secundario y nombrar por lo menos a 10 líderes</w:t>
      </w:r>
      <w:r>
        <w:rPr>
          <w:rFonts w:ascii="Arial" w:eastAsia="Times New Roman" w:hAnsi="Arial" w:cs="Arial"/>
          <w:color w:val="000000" w:themeColor="text1"/>
          <w:lang w:val="es-ES" w:eastAsia="es-PE"/>
        </w:rPr>
        <w:t>/lideresas</w:t>
      </w:r>
      <w:r w:rsidRPr="00D54EB3">
        <w:rPr>
          <w:rFonts w:ascii="Arial" w:eastAsia="Times New Roman" w:hAnsi="Arial" w:cs="Arial"/>
          <w:color w:val="000000" w:themeColor="text1"/>
          <w:lang w:val="es-ES" w:eastAsia="es-PE"/>
        </w:rPr>
        <w:t xml:space="preserve"> de la inocuidad de los alimentos en colegios emblemáticos.</w:t>
      </w:r>
      <w:r w:rsidRPr="00D54EB3">
        <w:rPr>
          <w:rFonts w:ascii="Arial" w:eastAsia="Times New Roman" w:hAnsi="Arial" w:cs="Arial"/>
          <w:color w:val="000000" w:themeColor="text1"/>
          <w:lang w:eastAsia="es-PE"/>
        </w:rPr>
        <w:t> </w:t>
      </w:r>
    </w:p>
    <w:p w14:paraId="5EBD5F40" w14:textId="77777777" w:rsidR="004C085E" w:rsidRPr="00D54EB3" w:rsidRDefault="004C085E" w:rsidP="004C085E">
      <w:pPr>
        <w:ind w:left="0" w:hanging="2"/>
        <w:jc w:val="both"/>
        <w:rPr>
          <w:rFonts w:ascii="Arial" w:eastAsia="Times New Roman" w:hAnsi="Arial" w:cs="Arial"/>
          <w:b/>
          <w:bCs/>
          <w:color w:val="000000" w:themeColor="text1"/>
          <w:lang w:eastAsia="es-PE"/>
        </w:rPr>
      </w:pPr>
      <w:r w:rsidRPr="00D54EB3">
        <w:rPr>
          <w:rFonts w:ascii="Arial" w:eastAsia="Times New Roman" w:hAnsi="Arial" w:cs="Arial"/>
          <w:b/>
          <w:bCs/>
          <w:color w:val="000000" w:themeColor="text1"/>
          <w:lang w:val="es-ES" w:eastAsia="es-PE"/>
        </w:rPr>
        <w:t>El dato</w:t>
      </w:r>
      <w:r w:rsidRPr="00D54EB3">
        <w:rPr>
          <w:rFonts w:ascii="Arial" w:eastAsia="Times New Roman" w:hAnsi="Arial" w:cs="Arial"/>
          <w:b/>
          <w:bCs/>
          <w:color w:val="000000" w:themeColor="text1"/>
          <w:lang w:eastAsia="es-PE"/>
        </w:rPr>
        <w:t> </w:t>
      </w:r>
    </w:p>
    <w:p w14:paraId="256581A3" w14:textId="77777777" w:rsidR="00CF57B4" w:rsidRDefault="004C085E" w:rsidP="00CF57B4">
      <w:pPr>
        <w:ind w:left="0" w:hanging="2"/>
        <w:jc w:val="both"/>
        <w:rPr>
          <w:rFonts w:ascii="Arial" w:eastAsia="Times New Roman" w:hAnsi="Arial" w:cs="Arial"/>
          <w:color w:val="000000" w:themeColor="text1"/>
          <w:lang w:eastAsia="es-PE"/>
        </w:rPr>
      </w:pPr>
      <w:r w:rsidRPr="00D54EB3">
        <w:rPr>
          <w:rFonts w:ascii="Arial" w:eastAsia="Times New Roman" w:hAnsi="Arial" w:cs="Arial"/>
          <w:color w:val="000000" w:themeColor="text1"/>
          <w:lang w:val="es-ES" w:eastAsia="es-PE"/>
        </w:rPr>
        <w:t>La Organización Mundial de la Salud (OMS) informó que cada año en el mundo 420 mil personas mueren por enfermedades de transmisión alimentaria que se pueden evitar. Asimismo, la OMS reportó que cada año aproximadamente 600 millones de personas se enferman debido a 200 tipos de enfermedades transmitidas por alimentos.</w:t>
      </w:r>
      <w:r w:rsidRPr="00D54EB3">
        <w:rPr>
          <w:rFonts w:ascii="Arial" w:eastAsia="Times New Roman" w:hAnsi="Arial" w:cs="Arial"/>
          <w:color w:val="000000" w:themeColor="text1"/>
          <w:lang w:eastAsia="es-PE"/>
        </w:rPr>
        <w:t> </w:t>
      </w:r>
    </w:p>
    <w:p w14:paraId="50F8CD70" w14:textId="58F0B53B" w:rsidR="003760F5" w:rsidRPr="005442E2" w:rsidRDefault="00383054" w:rsidP="00C0182A">
      <w:pPr>
        <w:ind w:left="0" w:hanging="2"/>
        <w:jc w:val="right"/>
        <w:rPr>
          <w:rFonts w:ascii="Arial" w:eastAsia="Arial" w:hAnsi="Arial" w:cs="Arial"/>
          <w:sz w:val="20"/>
          <w:szCs w:val="20"/>
        </w:rPr>
      </w:pPr>
      <w:r>
        <w:rPr>
          <w:rFonts w:ascii="Arial" w:eastAsia="Times New Roman" w:hAnsi="Arial" w:cs="Arial"/>
          <w:b/>
          <w:bCs/>
          <w:color w:val="000000" w:themeColor="text1"/>
          <w:lang w:val="es-ES" w:eastAsia="es-PE"/>
        </w:rPr>
        <w:t>Lima</w:t>
      </w:r>
      <w:r w:rsidR="004C085E" w:rsidRPr="000E505B">
        <w:rPr>
          <w:rFonts w:ascii="Arial" w:eastAsia="Times New Roman" w:hAnsi="Arial" w:cs="Arial"/>
          <w:b/>
          <w:bCs/>
          <w:color w:val="000000" w:themeColor="text1"/>
          <w:lang w:val="es-ES" w:eastAsia="es-PE"/>
        </w:rPr>
        <w:t>, 2</w:t>
      </w:r>
      <w:r>
        <w:rPr>
          <w:rFonts w:ascii="Arial" w:eastAsia="Times New Roman" w:hAnsi="Arial" w:cs="Arial"/>
          <w:b/>
          <w:bCs/>
          <w:color w:val="000000" w:themeColor="text1"/>
          <w:lang w:val="es-ES" w:eastAsia="es-PE"/>
        </w:rPr>
        <w:t>2</w:t>
      </w:r>
      <w:r w:rsidR="004C085E" w:rsidRPr="000E505B">
        <w:rPr>
          <w:rFonts w:ascii="Arial" w:eastAsia="Times New Roman" w:hAnsi="Arial" w:cs="Arial"/>
          <w:b/>
          <w:bCs/>
          <w:color w:val="000000" w:themeColor="text1"/>
          <w:lang w:val="es-ES" w:eastAsia="es-PE"/>
        </w:rPr>
        <w:t xml:space="preserve"> de octubre de 2024</w:t>
      </w:r>
    </w:p>
    <w:sectPr w:rsidR="003760F5" w:rsidRPr="005442E2" w:rsidSect="006F2E4F">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9B32" w14:textId="77777777" w:rsidR="003F7FEE" w:rsidRDefault="003F7FEE">
      <w:pPr>
        <w:spacing w:after="0" w:line="240" w:lineRule="auto"/>
        <w:ind w:left="0" w:hanging="2"/>
      </w:pPr>
      <w:r>
        <w:separator/>
      </w:r>
    </w:p>
  </w:endnote>
  <w:endnote w:type="continuationSeparator" w:id="0">
    <w:p w14:paraId="22CB2CDE" w14:textId="77777777" w:rsidR="003F7FEE" w:rsidRDefault="003F7F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EE62" w14:textId="77777777" w:rsidR="00503CA7" w:rsidRDefault="00503CA7">
    <w:pPr>
      <w:tabs>
        <w:tab w:val="left" w:pos="-284"/>
      </w:tabs>
      <w:spacing w:after="0" w:line="360" w:lineRule="auto"/>
      <w:ind w:right="-568"/>
      <w:jc w:val="both"/>
      <w:rPr>
        <w:sz w:val="14"/>
        <w:szCs w:val="14"/>
      </w:rPr>
    </w:pPr>
  </w:p>
  <w:p w14:paraId="2349F148" w14:textId="777A5E1C" w:rsidR="00503CA7" w:rsidRDefault="00503CA7" w:rsidP="005442E2">
    <w:pPr>
      <w:ind w:leftChars="-130" w:left="-285"/>
      <w:rPr>
        <w:sz w:val="10"/>
        <w:szCs w:val="10"/>
      </w:rPr>
    </w:pPr>
  </w:p>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0818" w14:textId="77777777" w:rsidR="003F7FEE" w:rsidRDefault="003F7FEE">
      <w:pPr>
        <w:spacing w:after="0" w:line="240" w:lineRule="auto"/>
        <w:ind w:left="0" w:hanging="2"/>
      </w:pPr>
      <w:r>
        <w:separator/>
      </w:r>
    </w:p>
  </w:footnote>
  <w:footnote w:type="continuationSeparator" w:id="0">
    <w:p w14:paraId="518F043E" w14:textId="77777777" w:rsidR="003F7FEE" w:rsidRDefault="003F7FE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1CA9" w14:textId="41012503" w:rsidR="00503CA7" w:rsidRDefault="0094331D">
    <w:pPr>
      <w:pBdr>
        <w:top w:val="nil"/>
        <w:left w:val="nil"/>
        <w:bottom w:val="nil"/>
        <w:right w:val="nil"/>
        <w:between w:val="nil"/>
      </w:pBdr>
      <w:spacing w:after="0" w:line="240" w:lineRule="auto"/>
      <w:ind w:left="0" w:hanging="2"/>
      <w:rPr>
        <w:color w:val="000000"/>
      </w:rPr>
    </w:pPr>
    <w:r>
      <w:rPr>
        <w:noProof/>
        <w:lang w:val="es-PE" w:eastAsia="es-PE"/>
      </w:rPr>
      <w:drawing>
        <wp:anchor distT="0" distB="0" distL="114300" distR="114300" simplePos="0" relativeHeight="251658240" behindDoc="0" locked="0" layoutInCell="1" hidden="0" allowOverlap="1" wp14:anchorId="14AA5CC5" wp14:editId="63F5B024">
          <wp:simplePos x="0" y="0"/>
          <wp:positionH relativeFrom="column">
            <wp:posOffset>-594703</wp:posOffset>
          </wp:positionH>
          <wp:positionV relativeFrom="paragraph">
            <wp:posOffset>12488</wp:posOffset>
          </wp:positionV>
          <wp:extent cx="2104712" cy="418679"/>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4712" cy="418679"/>
                  </a:xfrm>
                  <a:prstGeom prst="rect">
                    <a:avLst/>
                  </a:prstGeom>
                  <a:ln/>
                </pic:spPr>
              </pic:pic>
            </a:graphicData>
          </a:graphic>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1B16590C"/>
    <w:multiLevelType w:val="hybridMultilevel"/>
    <w:tmpl w:val="BD981362"/>
    <w:lvl w:ilvl="0" w:tplc="280A000B">
      <w:start w:val="1"/>
      <w:numFmt w:val="bullet"/>
      <w:lvlText w:val=""/>
      <w:lvlJc w:val="left"/>
      <w:pPr>
        <w:ind w:left="718" w:hanging="360"/>
      </w:pPr>
      <w:rPr>
        <w:rFonts w:ascii="Wingdings" w:hAnsi="Wingdings"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num w:numId="1" w16cid:durableId="1679844274">
    <w:abstractNumId w:val="0"/>
  </w:num>
  <w:num w:numId="2" w16cid:durableId="26230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7"/>
    <w:rsid w:val="000424E3"/>
    <w:rsid w:val="000E5F64"/>
    <w:rsid w:val="001D39C0"/>
    <w:rsid w:val="002108DB"/>
    <w:rsid w:val="0035643F"/>
    <w:rsid w:val="003760F5"/>
    <w:rsid w:val="00383054"/>
    <w:rsid w:val="003A0E8B"/>
    <w:rsid w:val="003F7FEE"/>
    <w:rsid w:val="00406525"/>
    <w:rsid w:val="00444DD9"/>
    <w:rsid w:val="004C085E"/>
    <w:rsid w:val="00503CA7"/>
    <w:rsid w:val="005442E2"/>
    <w:rsid w:val="006F2E4F"/>
    <w:rsid w:val="00772108"/>
    <w:rsid w:val="00773D97"/>
    <w:rsid w:val="00860C9A"/>
    <w:rsid w:val="0094331D"/>
    <w:rsid w:val="009A02A7"/>
    <w:rsid w:val="00A10ACE"/>
    <w:rsid w:val="00A310E1"/>
    <w:rsid w:val="00A73333"/>
    <w:rsid w:val="00A75B3B"/>
    <w:rsid w:val="00AA0E55"/>
    <w:rsid w:val="00B031C5"/>
    <w:rsid w:val="00B419C1"/>
    <w:rsid w:val="00BA3779"/>
    <w:rsid w:val="00C0182A"/>
    <w:rsid w:val="00CF57B4"/>
    <w:rsid w:val="00D84148"/>
    <w:rsid w:val="00E77597"/>
    <w:rsid w:val="00EB7BDE"/>
    <w:rsid w:val="00F031C0"/>
    <w:rsid w:val="00F975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Diego Castillo Aliaga</cp:lastModifiedBy>
  <cp:revision>137</cp:revision>
  <dcterms:created xsi:type="dcterms:W3CDTF">2024-09-28T18:24:00Z</dcterms:created>
  <dcterms:modified xsi:type="dcterms:W3CDTF">2024-10-22T14:47:00Z</dcterms:modified>
</cp:coreProperties>
</file>