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8F948" w14:textId="77777777" w:rsidR="001F18A2" w:rsidRPr="001F18A2" w:rsidRDefault="001F18A2" w:rsidP="001F18A2">
      <w:pPr>
        <w:jc w:val="center"/>
      </w:pPr>
      <w:r w:rsidRPr="001F18A2">
        <w:rPr>
          <w:b/>
          <w:bCs/>
          <w:u w:val="single"/>
        </w:rPr>
        <w:t>NOTA DE PRENSA</w:t>
      </w:r>
    </w:p>
    <w:p w14:paraId="0DE00E49" w14:textId="77777777" w:rsidR="001F18A2" w:rsidRDefault="001F18A2" w:rsidP="001F18A2">
      <w:pPr>
        <w:jc w:val="center"/>
        <w:rPr>
          <w:b/>
          <w:bCs/>
        </w:rPr>
      </w:pPr>
    </w:p>
    <w:p w14:paraId="6790B2CD" w14:textId="4B696E26" w:rsidR="001F18A2" w:rsidRPr="001F18A2" w:rsidRDefault="001F18A2" w:rsidP="001F18A2">
      <w:pPr>
        <w:jc w:val="center"/>
        <w:rPr>
          <w:lang w:val="es-PE"/>
        </w:rPr>
      </w:pPr>
      <w:r w:rsidRPr="001F18A2">
        <w:rPr>
          <w:b/>
          <w:bCs/>
        </w:rPr>
        <w:t>S</w:t>
      </w:r>
      <w:r w:rsidR="00CF09AF">
        <w:rPr>
          <w:b/>
          <w:bCs/>
        </w:rPr>
        <w:t>anipes</w:t>
      </w:r>
      <w:r w:rsidRPr="001F18A2">
        <w:rPr>
          <w:b/>
          <w:bCs/>
        </w:rPr>
        <w:t xml:space="preserve"> </w:t>
      </w:r>
      <w:r w:rsidR="003C2652">
        <w:rPr>
          <w:b/>
          <w:bCs/>
        </w:rPr>
        <w:t>amplía</w:t>
      </w:r>
      <w:r w:rsidRPr="001F18A2">
        <w:rPr>
          <w:b/>
          <w:bCs/>
        </w:rPr>
        <w:t xml:space="preserve"> </w:t>
      </w:r>
      <w:r w:rsidR="00FF7902">
        <w:rPr>
          <w:b/>
          <w:bCs/>
        </w:rPr>
        <w:t xml:space="preserve">el alcance de </w:t>
      </w:r>
      <w:r w:rsidRPr="001F18A2">
        <w:rPr>
          <w:b/>
          <w:bCs/>
        </w:rPr>
        <w:t xml:space="preserve">la certificación ISO 37001:2016 </w:t>
      </w:r>
      <w:r w:rsidR="00896E47">
        <w:rPr>
          <w:b/>
          <w:bCs/>
        </w:rPr>
        <w:t>de</w:t>
      </w:r>
      <w:r w:rsidRPr="001F18A2">
        <w:rPr>
          <w:b/>
          <w:bCs/>
        </w:rPr>
        <w:t xml:space="preserve"> su Sistema de Gestión Antisoborno</w:t>
      </w:r>
    </w:p>
    <w:p w14:paraId="352849BA" w14:textId="77777777" w:rsidR="001F18A2" w:rsidRPr="003C2652" w:rsidRDefault="001F18A2" w:rsidP="001F18A2">
      <w:pPr>
        <w:jc w:val="center"/>
        <w:rPr>
          <w:i/>
          <w:iCs/>
          <w:lang w:val="es-PE"/>
        </w:rPr>
      </w:pPr>
    </w:p>
    <w:p w14:paraId="65A12395" w14:textId="77777777" w:rsidR="001F18A2" w:rsidRPr="001F18A2" w:rsidRDefault="001F18A2" w:rsidP="001F18A2">
      <w:pPr>
        <w:jc w:val="center"/>
      </w:pPr>
      <w:r w:rsidRPr="001F18A2">
        <w:rPr>
          <w:i/>
          <w:iCs/>
        </w:rPr>
        <w:t>Este logro consolida la transparencia e integridad en procesos de certificación sanitaria y fortalece el compromiso del sector pesca y acuicultura con estándares globales.</w:t>
      </w:r>
    </w:p>
    <w:p w14:paraId="71DF021D" w14:textId="77777777" w:rsidR="001F18A2" w:rsidRDefault="001F18A2" w:rsidP="001F18A2"/>
    <w:p w14:paraId="64A5A984" w14:textId="77777777" w:rsidR="00ED411A" w:rsidRDefault="00DF1629" w:rsidP="001F18A2">
      <w:pPr>
        <w:jc w:val="both"/>
      </w:pPr>
      <w:r w:rsidRPr="001F18A2">
        <w:t>La Autoridad Nacional de Sanidad e Inocuidad en Pesca y Acuicultura (</w:t>
      </w:r>
      <w:r>
        <w:t>Sanipes</w:t>
      </w:r>
      <w:r w:rsidRPr="001F18A2">
        <w:t>), entidad adscrita al Ministerio de la Producción (Produce), recibió de parte de la empresa SGS</w:t>
      </w:r>
      <w:r>
        <w:t xml:space="preserve"> del</w:t>
      </w:r>
      <w:r w:rsidRPr="001F18A2">
        <w:t xml:space="preserve"> Perú</w:t>
      </w:r>
      <w:r>
        <w:t xml:space="preserve"> S.A.C.</w:t>
      </w:r>
      <w:r w:rsidRPr="001F18A2">
        <w:t xml:space="preserve"> la certificación</w:t>
      </w:r>
      <w:r w:rsidR="00896E47">
        <w:t xml:space="preserve"> que amplía el alcance</w:t>
      </w:r>
      <w:r w:rsidRPr="001F18A2">
        <w:t xml:space="preserve"> de su Sistema de Gestión Antisoborno (SGAS), según la Norma ISO 37001:2016</w:t>
      </w:r>
      <w:r w:rsidR="00ED411A">
        <w:t>.</w:t>
      </w:r>
    </w:p>
    <w:p w14:paraId="3E570B25" w14:textId="77777777" w:rsidR="00ED411A" w:rsidRDefault="00ED411A" w:rsidP="001F18A2">
      <w:pPr>
        <w:jc w:val="both"/>
      </w:pPr>
    </w:p>
    <w:p w14:paraId="1B1C9D5F" w14:textId="2F52E292" w:rsidR="00DF1629" w:rsidRDefault="00ED411A" w:rsidP="001F18A2">
      <w:pPr>
        <w:jc w:val="both"/>
      </w:pPr>
      <w:r>
        <w:t>C</w:t>
      </w:r>
      <w:r w:rsidR="00DF1629" w:rsidRPr="001F18A2">
        <w:t>on</w:t>
      </w:r>
      <w:r>
        <w:t xml:space="preserve"> esta </w:t>
      </w:r>
      <w:r w:rsidR="00D36ECA">
        <w:t>certificación</w:t>
      </w:r>
      <w:r>
        <w:t xml:space="preserve">, el </w:t>
      </w:r>
      <w:r w:rsidRPr="001F18A2">
        <w:t>Sistema de Gestión Antisoborno (SGAS), según la Norma ISO 37001:2016</w:t>
      </w:r>
      <w:r>
        <w:t>, cuyo</w:t>
      </w:r>
      <w:r w:rsidR="00DF1629" w:rsidRPr="001F18A2">
        <w:t xml:space="preserve"> alcance </w:t>
      </w:r>
      <w:r>
        <w:t>comprendía</w:t>
      </w:r>
      <w:r w:rsidR="00E33DDC">
        <w:t xml:space="preserve"> únicamente</w:t>
      </w:r>
      <w:r>
        <w:t xml:space="preserve"> las</w:t>
      </w:r>
      <w:r w:rsidR="00DF1629" w:rsidRPr="001F18A2">
        <w:t xml:space="preserve"> “Certificaciones sanitarias con fines de exportación para productos hidrobiológicos congelados</w:t>
      </w:r>
      <w:r>
        <w:t>” ahora también abarca las</w:t>
      </w:r>
      <w:r w:rsidR="00DF1629" w:rsidRPr="001F18A2">
        <w:t xml:space="preserve"> “Certificaciones sanitarias para productos hidrobiológicos en conserva para el mercado nacional”. </w:t>
      </w:r>
    </w:p>
    <w:p w14:paraId="0AE85324" w14:textId="77777777" w:rsidR="001F18A2" w:rsidRPr="001F18A2" w:rsidRDefault="001F18A2" w:rsidP="001F18A2">
      <w:pPr>
        <w:jc w:val="both"/>
      </w:pPr>
    </w:p>
    <w:p w14:paraId="181C0969" w14:textId="1259A520" w:rsidR="00D6293F" w:rsidRDefault="001F18A2" w:rsidP="001F18A2">
      <w:pPr>
        <w:jc w:val="both"/>
      </w:pPr>
      <w:r w:rsidRPr="001F18A2">
        <w:t xml:space="preserve">La presidenta ejecutiva de </w:t>
      </w:r>
      <w:r w:rsidR="00C56719">
        <w:t>Sanipes</w:t>
      </w:r>
      <w:r w:rsidRPr="001F18A2">
        <w:t xml:space="preserve">, Mónica Saavedra, aseguró que </w:t>
      </w:r>
      <w:r w:rsidR="001206A9">
        <w:t xml:space="preserve">con </w:t>
      </w:r>
      <w:r w:rsidR="005C6180">
        <w:t>esta ampliación</w:t>
      </w:r>
      <w:r w:rsidR="001206A9">
        <w:t xml:space="preserve"> la</w:t>
      </w:r>
      <w:r w:rsidR="00C56719">
        <w:t xml:space="preserve"> autoridad sanitaria</w:t>
      </w:r>
      <w:r w:rsidRPr="001F18A2">
        <w:t> </w:t>
      </w:r>
      <w:r w:rsidR="001206A9">
        <w:t>refuerza</w:t>
      </w:r>
      <w:r w:rsidRPr="001F18A2">
        <w:t xml:space="preserve"> su compromiso </w:t>
      </w:r>
      <w:r w:rsidR="009614FF">
        <w:t>de</w:t>
      </w:r>
      <w:r w:rsidRPr="001F18A2">
        <w:t xml:space="preserve"> promover la integridad, la competitividad</w:t>
      </w:r>
      <w:r w:rsidR="00D6293F">
        <w:t xml:space="preserve"> y</w:t>
      </w:r>
      <w:r w:rsidRPr="001F18A2">
        <w:t xml:space="preserve"> el derecho de los consumidores </w:t>
      </w:r>
      <w:r w:rsidR="00D6293F">
        <w:t>con la finalidad de contribuir</w:t>
      </w:r>
      <w:r w:rsidRPr="001F18A2">
        <w:t xml:space="preserve"> a la lucha contra la corrupción. “Felicito a los servidores que participaron en el proceso para conseguir este logro. Su compromiso ha permitido que hoy consolidemos nuestra política antisoborno”, </w:t>
      </w:r>
      <w:r w:rsidR="00D6293F">
        <w:t>subrayó</w:t>
      </w:r>
      <w:r w:rsidRPr="001F18A2">
        <w:t xml:space="preserve">. </w:t>
      </w:r>
    </w:p>
    <w:p w14:paraId="06A1B7EC" w14:textId="77777777" w:rsidR="001F18A2" w:rsidRPr="001F18A2" w:rsidRDefault="001F18A2" w:rsidP="001F18A2">
      <w:pPr>
        <w:jc w:val="both"/>
      </w:pPr>
      <w:r w:rsidRPr="001F18A2">
        <w:t> </w:t>
      </w:r>
    </w:p>
    <w:p w14:paraId="051983BF" w14:textId="6759B3E3" w:rsidR="001F18A2" w:rsidRDefault="001F18A2" w:rsidP="001F18A2">
      <w:pPr>
        <w:jc w:val="both"/>
      </w:pPr>
      <w:r w:rsidRPr="001F18A2">
        <w:t xml:space="preserve">Tras una auditoría interna y otra externa, la empresa certificadora SGS </w:t>
      </w:r>
      <w:r w:rsidR="003C2652">
        <w:t xml:space="preserve">del </w:t>
      </w:r>
      <w:r w:rsidRPr="001F18A2">
        <w:t>Perú</w:t>
      </w:r>
      <w:r w:rsidR="003C2652">
        <w:t xml:space="preserve"> S.A.C.</w:t>
      </w:r>
      <w:r w:rsidRPr="001F18A2">
        <w:t xml:space="preserve"> constató que </w:t>
      </w:r>
      <w:r w:rsidR="00C56719">
        <w:t>Sanipes</w:t>
      </w:r>
      <w:r w:rsidRPr="001F18A2">
        <w:t xml:space="preserve"> cumplió con todos los re</w:t>
      </w:r>
      <w:r w:rsidR="003C2652">
        <w:t xml:space="preserve">quisitos </w:t>
      </w:r>
      <w:r w:rsidRPr="001F18A2">
        <w:t>par</w:t>
      </w:r>
      <w:r w:rsidR="003C2652">
        <w:t>a ampliar</w:t>
      </w:r>
      <w:r w:rsidRPr="001F18A2">
        <w:t xml:space="preserve"> </w:t>
      </w:r>
      <w:r w:rsidR="003C2652">
        <w:t xml:space="preserve">el alcance de </w:t>
      </w:r>
      <w:r w:rsidRPr="001F18A2">
        <w:t>la certificación ISO 37001:2016 para su Sistema de Gestión Antisoborno. </w:t>
      </w:r>
    </w:p>
    <w:p w14:paraId="3EDFF3E7" w14:textId="77777777" w:rsidR="001F18A2" w:rsidRPr="001F18A2" w:rsidRDefault="001F18A2" w:rsidP="001F18A2">
      <w:pPr>
        <w:jc w:val="both"/>
      </w:pPr>
    </w:p>
    <w:p w14:paraId="611FB8D2" w14:textId="29C519CB" w:rsidR="00582E56" w:rsidRDefault="001F18A2" w:rsidP="001F18A2">
      <w:pPr>
        <w:jc w:val="both"/>
        <w:rPr>
          <w:b/>
          <w:bCs/>
        </w:rPr>
      </w:pPr>
      <w:r w:rsidRPr="001F18A2">
        <w:t xml:space="preserve">El SGAS tiene el fin de contribuir con la prevención, detección y mitigación de los riesgos de soborno en </w:t>
      </w:r>
      <w:r w:rsidR="00C56719">
        <w:t>Sanipes</w:t>
      </w:r>
      <w:r w:rsidRPr="001F18A2">
        <w:t xml:space="preserve">. Asimismo, coadyuva a </w:t>
      </w:r>
      <w:r w:rsidRPr="00E12AAA">
        <w:t>que la autoridad sanitaria identifique y gestione el soborno basado en riesgos, aumente la concienciación y buenas prácticas sobre el impacto del soborno, incremente la capacidad para detectar</w:t>
      </w:r>
      <w:r w:rsidRPr="001F18A2">
        <w:t xml:space="preserve"> el fraude, y mejore su reputación, garantizando así el cumplimiento de la ley y demostrando el compromiso de la entidad con prácticas antisoborno. </w:t>
      </w:r>
    </w:p>
    <w:p w14:paraId="05786A3F" w14:textId="77777777" w:rsidR="00582E56" w:rsidRDefault="00582E56" w:rsidP="001F18A2">
      <w:pPr>
        <w:jc w:val="both"/>
        <w:rPr>
          <w:b/>
          <w:bCs/>
        </w:rPr>
      </w:pPr>
    </w:p>
    <w:p w14:paraId="565A7016" w14:textId="19023A04" w:rsidR="001F18A2" w:rsidRPr="001F18A2" w:rsidRDefault="001F18A2" w:rsidP="001F18A2">
      <w:pPr>
        <w:jc w:val="both"/>
      </w:pPr>
      <w:r w:rsidRPr="001F18A2">
        <w:rPr>
          <w:b/>
          <w:bCs/>
        </w:rPr>
        <w:t>Certificaciones sanitarias</w:t>
      </w:r>
      <w:r w:rsidRPr="001F18A2">
        <w:t> </w:t>
      </w:r>
    </w:p>
    <w:p w14:paraId="0A4EF689" w14:textId="7EB2F6DC" w:rsidR="00C600FC" w:rsidRPr="001F18A2" w:rsidRDefault="001F18A2" w:rsidP="001F18A2">
      <w:pPr>
        <w:jc w:val="both"/>
      </w:pPr>
      <w:r w:rsidRPr="001F18A2">
        <w:t xml:space="preserve">Durante el 2025, </w:t>
      </w:r>
      <w:r w:rsidR="001C11C9">
        <w:t>Sanipes</w:t>
      </w:r>
      <w:r w:rsidRPr="001F18A2">
        <w:t xml:space="preserve"> proyecta que emitirá más de 24 500 certificaciones sanitarias para fortalecer el comercio de productos hidrobiológicos, los cuales beneficiarían a más de 500 empresas exportadoras, plantas productoras y centros de producción acuícola. </w:t>
      </w:r>
    </w:p>
    <w:p w14:paraId="645A9959" w14:textId="77777777" w:rsidR="00751C3F" w:rsidRDefault="00751C3F" w:rsidP="001F18A2">
      <w:pPr>
        <w:jc w:val="both"/>
      </w:pPr>
    </w:p>
    <w:p w14:paraId="46620386" w14:textId="71F5235D" w:rsidR="001F18A2" w:rsidRDefault="001F18A2" w:rsidP="001F18A2">
      <w:pPr>
        <w:jc w:val="both"/>
      </w:pPr>
      <w:r w:rsidRPr="001F18A2">
        <w:t>Con la emisión de esas certificaciones se garantizaría la sanidad e inocuidad de 2 348 368.49 toneladas métricas (TM) de recursos y productos hidrobiológicos destinados al comercio internacional y al mercado local. </w:t>
      </w:r>
    </w:p>
    <w:p w14:paraId="392E134E" w14:textId="77777777" w:rsidR="001F18A2" w:rsidRPr="001F18A2" w:rsidRDefault="001F18A2" w:rsidP="001F18A2">
      <w:pPr>
        <w:jc w:val="both"/>
      </w:pPr>
    </w:p>
    <w:p w14:paraId="0FDBE483" w14:textId="7054E081" w:rsidR="001F18A2" w:rsidRDefault="001F18A2" w:rsidP="001F18A2">
      <w:pPr>
        <w:jc w:val="both"/>
      </w:pPr>
      <w:r w:rsidRPr="001F18A2">
        <w:t xml:space="preserve">En lo que va del año </w:t>
      </w:r>
      <w:r w:rsidR="007C402A">
        <w:t>Sanipes</w:t>
      </w:r>
      <w:r w:rsidRPr="001F18A2">
        <w:t xml:space="preserve"> ha emitido más de 6400 certificaciones sanitarias, mientras que para el primer semestre del año espera</w:t>
      </w:r>
      <w:r w:rsidR="00387F2E">
        <w:t xml:space="preserve"> emitir más de</w:t>
      </w:r>
      <w:r w:rsidRPr="001F18A2">
        <w:t xml:space="preserve"> 12 400.  </w:t>
      </w:r>
    </w:p>
    <w:p w14:paraId="73C103D5" w14:textId="77777777" w:rsidR="007A6E53" w:rsidRPr="001F18A2" w:rsidRDefault="007A6E53" w:rsidP="001F18A2">
      <w:pPr>
        <w:jc w:val="both"/>
      </w:pPr>
    </w:p>
    <w:p w14:paraId="27EAD3EC" w14:textId="6DDBCDA9" w:rsidR="00F17921" w:rsidRPr="001F18A2" w:rsidRDefault="001F18A2" w:rsidP="007A6E53">
      <w:pPr>
        <w:jc w:val="right"/>
      </w:pPr>
      <w:r w:rsidRPr="001F18A2">
        <w:rPr>
          <w:b/>
          <w:bCs/>
        </w:rPr>
        <w:t xml:space="preserve">San Isidro, </w:t>
      </w:r>
      <w:r w:rsidR="007A6E53">
        <w:rPr>
          <w:b/>
          <w:bCs/>
        </w:rPr>
        <w:t>1</w:t>
      </w:r>
      <w:r w:rsidR="00905EF7">
        <w:rPr>
          <w:b/>
          <w:bCs/>
        </w:rPr>
        <w:t>5</w:t>
      </w:r>
      <w:r w:rsidRPr="001F18A2">
        <w:rPr>
          <w:b/>
          <w:bCs/>
        </w:rPr>
        <w:t xml:space="preserve"> de </w:t>
      </w:r>
      <w:r w:rsidR="007A6E53">
        <w:rPr>
          <w:b/>
          <w:bCs/>
        </w:rPr>
        <w:t>mayo</w:t>
      </w:r>
      <w:r w:rsidRPr="001F18A2">
        <w:rPr>
          <w:b/>
          <w:bCs/>
        </w:rPr>
        <w:t xml:space="preserve"> de 2025</w:t>
      </w:r>
      <w:r w:rsidRPr="001F18A2">
        <w:t> </w:t>
      </w:r>
    </w:p>
    <w:sectPr w:rsidR="00F17921" w:rsidRPr="001F18A2" w:rsidSect="00B210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378" w:right="941" w:bottom="919" w:left="1202" w:header="550" w:footer="40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6B7DC" w14:textId="77777777" w:rsidR="00B45DCA" w:rsidRDefault="00B45DCA">
      <w:r>
        <w:separator/>
      </w:r>
    </w:p>
  </w:endnote>
  <w:endnote w:type="continuationSeparator" w:id="0">
    <w:p w14:paraId="53F938AC" w14:textId="77777777" w:rsidR="00B45DCA" w:rsidRDefault="00B4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14B8A" w14:textId="77777777" w:rsidR="00420409" w:rsidRDefault="004204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C387A" w14:textId="6AEC8715" w:rsidR="00B210E8" w:rsidRDefault="00A87FBE" w:rsidP="00B210E8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5BE41B" wp14:editId="0F9BE6A8">
          <wp:simplePos x="0" y="0"/>
          <wp:positionH relativeFrom="margin">
            <wp:posOffset>5402580</wp:posOffset>
          </wp:positionH>
          <wp:positionV relativeFrom="paragraph">
            <wp:posOffset>-170815</wp:posOffset>
          </wp:positionV>
          <wp:extent cx="871220" cy="523875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574AD405" wp14:editId="159C02E7">
              <wp:simplePos x="0" y="0"/>
              <wp:positionH relativeFrom="margin">
                <wp:posOffset>-229870</wp:posOffset>
              </wp:positionH>
              <wp:positionV relativeFrom="paragraph">
                <wp:posOffset>-164465</wp:posOffset>
              </wp:positionV>
              <wp:extent cx="2480310" cy="519430"/>
              <wp:effectExtent l="0" t="0" r="0" b="0"/>
              <wp:wrapSquare wrapText="bothSides"/>
              <wp:docPr id="200459759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0310" cy="519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B4B974" w14:textId="77777777" w:rsidR="000E4635" w:rsidRDefault="000E4635" w:rsidP="00B210E8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rPr>
                              <w:rFonts w:ascii="Arial" w:eastAsia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  <w:p w14:paraId="6C3B77B9" w14:textId="77777777" w:rsidR="00B210E8" w:rsidRDefault="00B210E8" w:rsidP="00B210E8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rPr>
                              <w:rFonts w:ascii="Arial" w:eastAsia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  <w:szCs w:val="14"/>
                            </w:rPr>
                            <w:t>Ca. Amador Merino Reyna 267 Piso 12 San Isidro - Lima</w:t>
                          </w:r>
                        </w:p>
                        <w:p w14:paraId="406CD34B" w14:textId="77777777" w:rsidR="00B210E8" w:rsidRPr="00B210E8" w:rsidRDefault="00B210E8" w:rsidP="00B210E8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rPr>
                              <w:rFonts w:ascii="Arial" w:eastAsia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  <w:szCs w:val="14"/>
                            </w:rPr>
                            <w:t>Av. Carretera a Ventanilla km 5.2 - Callao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  <w:szCs w:val="14"/>
                            </w:rPr>
                            <w:br/>
                            <w:t>www.gob.pe/sanipes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4AD40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1pt;margin-top:-12.95pt;width:195.3pt;height:40.9pt;z-index:25165619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" stroked="f">
              <v:textbox>
                <w:txbxContent>
                  <w:p w14:paraId="6CB4B974" w14:textId="77777777" w:rsidR="000E4635" w:rsidRDefault="000E4635" w:rsidP="00B210E8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ascii="Arial" w:eastAsia="Arial" w:hAnsi="Arial" w:cs="Arial"/>
                        <w:color w:val="000000"/>
                        <w:sz w:val="14"/>
                        <w:szCs w:val="14"/>
                      </w:rPr>
                    </w:pPr>
                  </w:p>
                  <w:p w14:paraId="6C3B77B9" w14:textId="77777777" w:rsidR="00B210E8" w:rsidRDefault="00B210E8" w:rsidP="00B210E8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ascii="Arial" w:eastAsia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4"/>
                        <w:szCs w:val="14"/>
                      </w:rPr>
                      <w:t>Ca. Amador Merino Reyna 267 Piso 12 San Isidro - Lima</w:t>
                    </w:r>
                  </w:p>
                  <w:p w14:paraId="406CD34B" w14:textId="77777777" w:rsidR="00B210E8" w:rsidRPr="00B210E8" w:rsidRDefault="00B210E8" w:rsidP="00B210E8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ascii="Arial" w:eastAsia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4"/>
                        <w:szCs w:val="14"/>
                      </w:rPr>
                      <w:t>Av. Carretera a Ventanilla km 5.2 - Callao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  <w:szCs w:val="14"/>
                      </w:rPr>
                      <w:br/>
                      <w:t>www.gob.pe/sanipes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9DF8D7F" w14:textId="77777777" w:rsidR="00B210E8" w:rsidRDefault="00B210E8" w:rsidP="00B210E8">
    <w:pPr>
      <w:pStyle w:val="Piedepgina"/>
    </w:pPr>
  </w:p>
  <w:p w14:paraId="6043E733" w14:textId="77777777" w:rsidR="00577D9E" w:rsidRPr="00B210E8" w:rsidRDefault="00577D9E" w:rsidP="00B210E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396D4" w14:textId="77777777" w:rsidR="00420409" w:rsidRDefault="004204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AFE26" w14:textId="77777777" w:rsidR="00B45DCA" w:rsidRDefault="00B45DCA">
      <w:r>
        <w:separator/>
      </w:r>
    </w:p>
  </w:footnote>
  <w:footnote w:type="continuationSeparator" w:id="0">
    <w:p w14:paraId="6B61681D" w14:textId="77777777" w:rsidR="00B45DCA" w:rsidRDefault="00B45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92027" w14:textId="77777777" w:rsidR="00420409" w:rsidRDefault="004204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D2FF6" w14:textId="76C2AD8C" w:rsidR="00B210E8" w:rsidRDefault="00A87FBE" w:rsidP="00B210E8">
    <w:pPr>
      <w:pBdr>
        <w:top w:val="nil"/>
        <w:left w:val="nil"/>
        <w:bottom w:val="nil"/>
        <w:right w:val="nil"/>
        <w:between w:val="nil"/>
      </w:pBdr>
      <w:ind w:leftChars="-129" w:left="-284"/>
      <w:rPr>
        <w:rFonts w:ascii="Arial" w:hAnsi="Arial" w:cs="Arial"/>
        <w:color w:val="202124"/>
        <w:sz w:val="14"/>
        <w:szCs w:val="14"/>
        <w:shd w:val="clear" w:color="auto" w:fill="FFFFFF"/>
        <w:lang w:val="es-PE" w:eastAsia="es-ES_tradnl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F89C80D" wp14:editId="60068FAC">
          <wp:simplePos x="0" y="0"/>
          <wp:positionH relativeFrom="margin">
            <wp:align>left</wp:align>
          </wp:positionH>
          <wp:positionV relativeFrom="paragraph">
            <wp:posOffset>54610</wp:posOffset>
          </wp:positionV>
          <wp:extent cx="2104390" cy="418465"/>
          <wp:effectExtent l="0" t="0" r="0" b="0"/>
          <wp:wrapNone/>
          <wp:docPr id="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439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3CC656D" wp14:editId="27B199A5">
          <wp:simplePos x="0" y="0"/>
          <wp:positionH relativeFrom="column">
            <wp:posOffset>4872355</wp:posOffset>
          </wp:positionH>
          <wp:positionV relativeFrom="paragraph">
            <wp:posOffset>28575</wp:posOffset>
          </wp:positionV>
          <wp:extent cx="1496060" cy="485775"/>
          <wp:effectExtent l="0" t="0" r="0" b="0"/>
          <wp:wrapNone/>
          <wp:docPr id="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50" b="12299"/>
                  <a:stretch>
                    <a:fillRect/>
                  </a:stretch>
                </pic:blipFill>
                <pic:spPr bwMode="auto">
                  <a:xfrm>
                    <a:off x="0" y="0"/>
                    <a:ext cx="149606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3597C8" w14:textId="77777777" w:rsidR="00B210E8" w:rsidRDefault="00B210E8" w:rsidP="00B210E8">
    <w:pPr>
      <w:pBdr>
        <w:top w:val="nil"/>
        <w:left w:val="nil"/>
        <w:bottom w:val="nil"/>
        <w:right w:val="nil"/>
        <w:between w:val="nil"/>
      </w:pBdr>
      <w:ind w:leftChars="-129" w:left="-284"/>
      <w:rPr>
        <w:rFonts w:ascii="Arial" w:hAnsi="Arial" w:cs="Arial"/>
        <w:color w:val="202124"/>
        <w:sz w:val="14"/>
        <w:szCs w:val="14"/>
        <w:shd w:val="clear" w:color="auto" w:fill="FFFFFF"/>
        <w:lang w:val="es-PE" w:eastAsia="es-ES_tradnl"/>
      </w:rPr>
    </w:pPr>
  </w:p>
  <w:p w14:paraId="420C9BF6" w14:textId="77777777" w:rsidR="00B210E8" w:rsidRDefault="00B210E8" w:rsidP="00B210E8">
    <w:pPr>
      <w:pBdr>
        <w:top w:val="nil"/>
        <w:left w:val="nil"/>
        <w:bottom w:val="nil"/>
        <w:right w:val="nil"/>
        <w:between w:val="nil"/>
      </w:pBdr>
      <w:ind w:leftChars="-129" w:left="-284"/>
      <w:rPr>
        <w:rFonts w:ascii="Arial" w:hAnsi="Arial" w:cs="Arial"/>
        <w:color w:val="202124"/>
        <w:sz w:val="14"/>
        <w:szCs w:val="14"/>
        <w:shd w:val="clear" w:color="auto" w:fill="FFFFFF"/>
        <w:lang w:val="es-PE" w:eastAsia="es-ES_tradnl"/>
      </w:rPr>
    </w:pPr>
  </w:p>
  <w:p w14:paraId="78C81111" w14:textId="77777777" w:rsidR="00B210E8" w:rsidRDefault="00B210E8" w:rsidP="00B210E8">
    <w:pPr>
      <w:pBdr>
        <w:top w:val="nil"/>
        <w:left w:val="nil"/>
        <w:bottom w:val="nil"/>
        <w:right w:val="nil"/>
        <w:between w:val="nil"/>
      </w:pBdr>
      <w:ind w:leftChars="-129" w:left="-284"/>
      <w:rPr>
        <w:rFonts w:ascii="Arial" w:hAnsi="Arial" w:cs="Arial"/>
        <w:color w:val="202124"/>
        <w:sz w:val="14"/>
        <w:szCs w:val="14"/>
        <w:shd w:val="clear" w:color="auto" w:fill="FFFFFF"/>
        <w:lang w:val="es-PE" w:eastAsia="es-ES_tradnl"/>
      </w:rPr>
    </w:pPr>
  </w:p>
  <w:p w14:paraId="2E43BE2D" w14:textId="77777777" w:rsidR="00B210E8" w:rsidRDefault="00B210E8" w:rsidP="00B210E8">
    <w:pPr>
      <w:pBdr>
        <w:top w:val="nil"/>
        <w:left w:val="nil"/>
        <w:bottom w:val="nil"/>
        <w:right w:val="nil"/>
        <w:between w:val="nil"/>
      </w:pBdr>
      <w:ind w:leftChars="-129" w:left="-284"/>
      <w:rPr>
        <w:rFonts w:ascii="Arial" w:hAnsi="Arial" w:cs="Arial"/>
        <w:color w:val="202124"/>
        <w:sz w:val="14"/>
        <w:szCs w:val="14"/>
        <w:shd w:val="clear" w:color="auto" w:fill="FFFFFF"/>
        <w:lang w:val="es-PE" w:eastAsia="es-ES_tradnl"/>
      </w:rPr>
    </w:pPr>
  </w:p>
  <w:p w14:paraId="77E387B5" w14:textId="77777777" w:rsidR="00B210E8" w:rsidRDefault="00B210E8" w:rsidP="00B210E8">
    <w:pPr>
      <w:pBdr>
        <w:top w:val="nil"/>
        <w:left w:val="nil"/>
        <w:bottom w:val="nil"/>
        <w:right w:val="nil"/>
        <w:between w:val="nil"/>
      </w:pBdr>
      <w:ind w:leftChars="-129" w:left="-284"/>
      <w:rPr>
        <w:rFonts w:ascii="Arial" w:hAnsi="Arial" w:cs="Arial"/>
        <w:color w:val="202124"/>
        <w:sz w:val="14"/>
        <w:szCs w:val="14"/>
        <w:shd w:val="clear" w:color="auto" w:fill="FFFFFF"/>
        <w:lang w:val="es-PE" w:eastAsia="es-ES_tradnl"/>
      </w:rPr>
    </w:pPr>
  </w:p>
  <w:p w14:paraId="6EDA0FE8" w14:textId="77777777" w:rsidR="00B210E8" w:rsidRPr="00420409" w:rsidRDefault="00B210E8" w:rsidP="00B210E8">
    <w:pPr>
      <w:pBdr>
        <w:top w:val="nil"/>
        <w:left w:val="nil"/>
        <w:bottom w:val="nil"/>
        <w:right w:val="nil"/>
        <w:between w:val="nil"/>
      </w:pBdr>
      <w:ind w:leftChars="-129" w:left="-284"/>
      <w:rPr>
        <w:rFonts w:ascii="Arial" w:hAnsi="Arial" w:cs="Arial"/>
        <w:sz w:val="14"/>
        <w:szCs w:val="16"/>
        <w:shd w:val="clear" w:color="auto" w:fill="FFFFFF"/>
        <w:lang w:val="es-PE" w:eastAsia="es-ES_tradnl"/>
      </w:rPr>
    </w:pPr>
    <w:r w:rsidRPr="00420409">
      <w:rPr>
        <w:rFonts w:ascii="Arial" w:hAnsi="Arial" w:cs="Arial"/>
        <w:sz w:val="14"/>
        <w:szCs w:val="16"/>
        <w:shd w:val="clear" w:color="auto" w:fill="FFFFFF"/>
        <w:lang w:val="es-PE" w:eastAsia="es-ES_tradnl"/>
      </w:rPr>
      <w:t>“Decenio de la igualdad de oportunidades para mujeres y hombres”</w:t>
    </w:r>
  </w:p>
  <w:p w14:paraId="3EA11983" w14:textId="77777777" w:rsidR="00B210E8" w:rsidRPr="00420409" w:rsidRDefault="00B210E8" w:rsidP="00B210E8">
    <w:pPr>
      <w:pBdr>
        <w:top w:val="nil"/>
        <w:left w:val="nil"/>
        <w:bottom w:val="nil"/>
        <w:right w:val="nil"/>
        <w:between w:val="nil"/>
      </w:pBdr>
      <w:ind w:leftChars="-129" w:left="-284"/>
      <w:rPr>
        <w:rFonts w:ascii="Arial" w:hAnsi="Arial" w:cs="Arial"/>
        <w:sz w:val="14"/>
        <w:szCs w:val="16"/>
        <w:shd w:val="clear" w:color="auto" w:fill="FFFFFF"/>
        <w:lang w:val="es-PE" w:eastAsia="es-ES_tradnl"/>
      </w:rPr>
    </w:pPr>
    <w:r w:rsidRPr="00420409">
      <w:rPr>
        <w:rFonts w:ascii="Arial" w:hAnsi="Arial" w:cs="Arial"/>
        <w:sz w:val="14"/>
        <w:szCs w:val="16"/>
        <w:shd w:val="clear" w:color="auto" w:fill="FFFFFF"/>
        <w:lang w:val="es-PE" w:eastAsia="es-ES_tradnl"/>
      </w:rPr>
      <w:t>“</w:t>
    </w:r>
    <w:r w:rsidRPr="00420409">
      <w:rPr>
        <w:rFonts w:ascii="Arial" w:hAnsi="Arial" w:cs="Arial"/>
        <w:sz w:val="14"/>
        <w:szCs w:val="16"/>
        <w:lang w:val="es-PE" w:eastAsia="es-ES_tradnl"/>
      </w:rPr>
      <w:t>Año de la recuperación y consolidación de la economía peruana</w:t>
    </w:r>
    <w:r w:rsidRPr="00420409">
      <w:rPr>
        <w:rFonts w:ascii="Arial" w:hAnsi="Arial" w:cs="Arial"/>
        <w:sz w:val="14"/>
        <w:szCs w:val="16"/>
        <w:shd w:val="clear" w:color="auto" w:fill="FFFFFF"/>
        <w:lang w:val="es-PE" w:eastAsia="es-ES_tradnl"/>
      </w:rPr>
      <w:t>”</w:t>
    </w:r>
  </w:p>
  <w:p w14:paraId="455C9586" w14:textId="77777777" w:rsidR="00B210E8" w:rsidRDefault="00B210E8" w:rsidP="00B210E8">
    <w:pPr>
      <w:pBdr>
        <w:top w:val="nil"/>
        <w:left w:val="nil"/>
        <w:bottom w:val="nil"/>
        <w:right w:val="nil"/>
        <w:between w:val="nil"/>
      </w:pBdr>
      <w:ind w:leftChars="-129" w:left="-284"/>
      <w:rPr>
        <w:rFonts w:ascii="Arial" w:hAnsi="Arial" w:cs="Arial"/>
        <w:color w:val="202124"/>
        <w:sz w:val="14"/>
        <w:szCs w:val="14"/>
        <w:shd w:val="clear" w:color="auto" w:fill="FFFFFF"/>
        <w:lang w:val="es-PE" w:eastAsia="es-ES_tradnl"/>
      </w:rPr>
    </w:pPr>
  </w:p>
  <w:p w14:paraId="0BE114D8" w14:textId="77777777" w:rsidR="00B210E8" w:rsidRDefault="00B210E8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E7AB8" w14:textId="77777777" w:rsidR="00420409" w:rsidRDefault="004204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C0FAC"/>
    <w:multiLevelType w:val="hybridMultilevel"/>
    <w:tmpl w:val="F12497DC"/>
    <w:lvl w:ilvl="0" w:tplc="62AE2F82">
      <w:start w:val="1"/>
      <w:numFmt w:val="decimal"/>
      <w:lvlText w:val="%1."/>
      <w:lvlJc w:val="left"/>
      <w:pPr>
        <w:ind w:left="73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E136540A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701A2F2E">
      <w:numFmt w:val="bullet"/>
      <w:lvlText w:val="•"/>
      <w:lvlJc w:val="left"/>
      <w:pPr>
        <w:ind w:left="2520" w:hanging="360"/>
      </w:pPr>
      <w:rPr>
        <w:rFonts w:hint="default"/>
        <w:lang w:val="es-ES" w:eastAsia="en-US" w:bidi="ar-SA"/>
      </w:rPr>
    </w:lvl>
    <w:lvl w:ilvl="3" w:tplc="61382156">
      <w:numFmt w:val="bullet"/>
      <w:lvlText w:val="•"/>
      <w:lvlJc w:val="left"/>
      <w:pPr>
        <w:ind w:left="3410" w:hanging="360"/>
      </w:pPr>
      <w:rPr>
        <w:rFonts w:hint="default"/>
        <w:lang w:val="es-ES" w:eastAsia="en-US" w:bidi="ar-SA"/>
      </w:rPr>
    </w:lvl>
    <w:lvl w:ilvl="4" w:tplc="21F64AFC">
      <w:numFmt w:val="bullet"/>
      <w:lvlText w:val="•"/>
      <w:lvlJc w:val="left"/>
      <w:pPr>
        <w:ind w:left="4300" w:hanging="360"/>
      </w:pPr>
      <w:rPr>
        <w:rFonts w:hint="default"/>
        <w:lang w:val="es-ES" w:eastAsia="en-US" w:bidi="ar-SA"/>
      </w:rPr>
    </w:lvl>
    <w:lvl w:ilvl="5" w:tplc="1488EEF0">
      <w:numFmt w:val="bullet"/>
      <w:lvlText w:val="•"/>
      <w:lvlJc w:val="left"/>
      <w:pPr>
        <w:ind w:left="5190" w:hanging="360"/>
      </w:pPr>
      <w:rPr>
        <w:rFonts w:hint="default"/>
        <w:lang w:val="es-ES" w:eastAsia="en-US" w:bidi="ar-SA"/>
      </w:rPr>
    </w:lvl>
    <w:lvl w:ilvl="6" w:tplc="EC74DDAE">
      <w:numFmt w:val="bullet"/>
      <w:lvlText w:val="•"/>
      <w:lvlJc w:val="left"/>
      <w:pPr>
        <w:ind w:left="6080" w:hanging="360"/>
      </w:pPr>
      <w:rPr>
        <w:rFonts w:hint="default"/>
        <w:lang w:val="es-ES" w:eastAsia="en-US" w:bidi="ar-SA"/>
      </w:rPr>
    </w:lvl>
    <w:lvl w:ilvl="7" w:tplc="E4CCEC9A">
      <w:numFmt w:val="bullet"/>
      <w:lvlText w:val="•"/>
      <w:lvlJc w:val="left"/>
      <w:pPr>
        <w:ind w:left="6970" w:hanging="360"/>
      </w:pPr>
      <w:rPr>
        <w:rFonts w:hint="default"/>
        <w:lang w:val="es-ES" w:eastAsia="en-US" w:bidi="ar-SA"/>
      </w:rPr>
    </w:lvl>
    <w:lvl w:ilvl="8" w:tplc="65A4C528">
      <w:numFmt w:val="bullet"/>
      <w:lvlText w:val="•"/>
      <w:lvlJc w:val="left"/>
      <w:pPr>
        <w:ind w:left="786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6432EB3"/>
    <w:multiLevelType w:val="hybridMultilevel"/>
    <w:tmpl w:val="9F1203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1425C"/>
    <w:multiLevelType w:val="multilevel"/>
    <w:tmpl w:val="22C421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54A6ACC"/>
    <w:multiLevelType w:val="hybridMultilevel"/>
    <w:tmpl w:val="B196470C"/>
    <w:lvl w:ilvl="0" w:tplc="28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4F040E14"/>
    <w:multiLevelType w:val="hybridMultilevel"/>
    <w:tmpl w:val="792E34C8"/>
    <w:lvl w:ilvl="0" w:tplc="3594E1D4">
      <w:numFmt w:val="bullet"/>
      <w:lvlText w:val="-"/>
      <w:lvlJc w:val="left"/>
      <w:pPr>
        <w:ind w:left="295" w:hanging="11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354EBA0">
      <w:numFmt w:val="bullet"/>
      <w:lvlText w:val="-"/>
      <w:lvlJc w:val="left"/>
      <w:pPr>
        <w:ind w:left="600" w:hanging="154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2" w:tplc="044C3A84">
      <w:numFmt w:val="bullet"/>
      <w:lvlText w:val="•"/>
      <w:lvlJc w:val="left"/>
      <w:pPr>
        <w:ind w:left="1603" w:hanging="154"/>
      </w:pPr>
      <w:rPr>
        <w:rFonts w:hint="default"/>
        <w:lang w:val="es-ES" w:eastAsia="en-US" w:bidi="ar-SA"/>
      </w:rPr>
    </w:lvl>
    <w:lvl w:ilvl="3" w:tplc="5BA2B868">
      <w:numFmt w:val="bullet"/>
      <w:lvlText w:val="•"/>
      <w:lvlJc w:val="left"/>
      <w:pPr>
        <w:ind w:left="2607" w:hanging="154"/>
      </w:pPr>
      <w:rPr>
        <w:rFonts w:hint="default"/>
        <w:lang w:val="es-ES" w:eastAsia="en-US" w:bidi="ar-SA"/>
      </w:rPr>
    </w:lvl>
    <w:lvl w:ilvl="4" w:tplc="078A7592">
      <w:numFmt w:val="bullet"/>
      <w:lvlText w:val="•"/>
      <w:lvlJc w:val="left"/>
      <w:pPr>
        <w:ind w:left="3611" w:hanging="154"/>
      </w:pPr>
      <w:rPr>
        <w:rFonts w:hint="default"/>
        <w:lang w:val="es-ES" w:eastAsia="en-US" w:bidi="ar-SA"/>
      </w:rPr>
    </w:lvl>
    <w:lvl w:ilvl="5" w:tplc="0562F018">
      <w:numFmt w:val="bullet"/>
      <w:lvlText w:val="•"/>
      <w:lvlJc w:val="left"/>
      <w:pPr>
        <w:ind w:left="4615" w:hanging="154"/>
      </w:pPr>
      <w:rPr>
        <w:rFonts w:hint="default"/>
        <w:lang w:val="es-ES" w:eastAsia="en-US" w:bidi="ar-SA"/>
      </w:rPr>
    </w:lvl>
    <w:lvl w:ilvl="6" w:tplc="5D20ED9C">
      <w:numFmt w:val="bullet"/>
      <w:lvlText w:val="•"/>
      <w:lvlJc w:val="left"/>
      <w:pPr>
        <w:ind w:left="5618" w:hanging="154"/>
      </w:pPr>
      <w:rPr>
        <w:rFonts w:hint="default"/>
        <w:lang w:val="es-ES" w:eastAsia="en-US" w:bidi="ar-SA"/>
      </w:rPr>
    </w:lvl>
    <w:lvl w:ilvl="7" w:tplc="308A85E0">
      <w:numFmt w:val="bullet"/>
      <w:lvlText w:val="•"/>
      <w:lvlJc w:val="left"/>
      <w:pPr>
        <w:ind w:left="6622" w:hanging="154"/>
      </w:pPr>
      <w:rPr>
        <w:rFonts w:hint="default"/>
        <w:lang w:val="es-ES" w:eastAsia="en-US" w:bidi="ar-SA"/>
      </w:rPr>
    </w:lvl>
    <w:lvl w:ilvl="8" w:tplc="534E7254">
      <w:numFmt w:val="bullet"/>
      <w:lvlText w:val="•"/>
      <w:lvlJc w:val="left"/>
      <w:pPr>
        <w:ind w:left="7626" w:hanging="154"/>
      </w:pPr>
      <w:rPr>
        <w:rFonts w:hint="default"/>
        <w:lang w:val="es-ES" w:eastAsia="en-US" w:bidi="ar-SA"/>
      </w:rPr>
    </w:lvl>
  </w:abstractNum>
  <w:abstractNum w:abstractNumId="5" w15:restartNumberingAfterBreak="0">
    <w:nsid w:val="4F4427D1"/>
    <w:multiLevelType w:val="hybridMultilevel"/>
    <w:tmpl w:val="5394EC92"/>
    <w:lvl w:ilvl="0" w:tplc="0354EBA0">
      <w:numFmt w:val="bullet"/>
      <w:lvlText w:val="-"/>
      <w:lvlJc w:val="left"/>
      <w:pPr>
        <w:ind w:left="720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631D6"/>
    <w:multiLevelType w:val="hybridMultilevel"/>
    <w:tmpl w:val="AB542DAE"/>
    <w:lvl w:ilvl="0" w:tplc="8E249052">
      <w:start w:val="1"/>
      <w:numFmt w:val="decimal"/>
      <w:lvlText w:val="%1."/>
      <w:lvlJc w:val="left"/>
      <w:pPr>
        <w:ind w:left="725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3D9AAA92">
      <w:numFmt w:val="bullet"/>
      <w:lvlText w:val="•"/>
      <w:lvlJc w:val="left"/>
      <w:pPr>
        <w:ind w:left="1611" w:hanging="360"/>
      </w:pPr>
      <w:rPr>
        <w:rFonts w:hint="default"/>
        <w:lang w:val="es-ES" w:eastAsia="en-US" w:bidi="ar-SA"/>
      </w:rPr>
    </w:lvl>
    <w:lvl w:ilvl="2" w:tplc="52DAE300">
      <w:numFmt w:val="bullet"/>
      <w:lvlText w:val="•"/>
      <w:lvlJc w:val="left"/>
      <w:pPr>
        <w:ind w:left="2502" w:hanging="360"/>
      </w:pPr>
      <w:rPr>
        <w:rFonts w:hint="default"/>
        <w:lang w:val="es-ES" w:eastAsia="en-US" w:bidi="ar-SA"/>
      </w:rPr>
    </w:lvl>
    <w:lvl w:ilvl="3" w:tplc="0972B22E">
      <w:numFmt w:val="bullet"/>
      <w:lvlText w:val="•"/>
      <w:lvlJc w:val="left"/>
      <w:pPr>
        <w:ind w:left="3394" w:hanging="360"/>
      </w:pPr>
      <w:rPr>
        <w:rFonts w:hint="default"/>
        <w:lang w:val="es-ES" w:eastAsia="en-US" w:bidi="ar-SA"/>
      </w:rPr>
    </w:lvl>
    <w:lvl w:ilvl="4" w:tplc="3544E2D2">
      <w:numFmt w:val="bullet"/>
      <w:lvlText w:val="•"/>
      <w:lvlJc w:val="left"/>
      <w:pPr>
        <w:ind w:left="4285" w:hanging="360"/>
      </w:pPr>
      <w:rPr>
        <w:rFonts w:hint="default"/>
        <w:lang w:val="es-ES" w:eastAsia="en-US" w:bidi="ar-SA"/>
      </w:rPr>
    </w:lvl>
    <w:lvl w:ilvl="5" w:tplc="1004CC46">
      <w:numFmt w:val="bullet"/>
      <w:lvlText w:val="•"/>
      <w:lvlJc w:val="left"/>
      <w:pPr>
        <w:ind w:left="5177" w:hanging="360"/>
      </w:pPr>
      <w:rPr>
        <w:rFonts w:hint="default"/>
        <w:lang w:val="es-ES" w:eastAsia="en-US" w:bidi="ar-SA"/>
      </w:rPr>
    </w:lvl>
    <w:lvl w:ilvl="6" w:tplc="209A1F20">
      <w:numFmt w:val="bullet"/>
      <w:lvlText w:val="•"/>
      <w:lvlJc w:val="left"/>
      <w:pPr>
        <w:ind w:left="6068" w:hanging="360"/>
      </w:pPr>
      <w:rPr>
        <w:rFonts w:hint="default"/>
        <w:lang w:val="es-ES" w:eastAsia="en-US" w:bidi="ar-SA"/>
      </w:rPr>
    </w:lvl>
    <w:lvl w:ilvl="7" w:tplc="89087422">
      <w:numFmt w:val="bullet"/>
      <w:lvlText w:val="•"/>
      <w:lvlJc w:val="left"/>
      <w:pPr>
        <w:ind w:left="6959" w:hanging="360"/>
      </w:pPr>
      <w:rPr>
        <w:rFonts w:hint="default"/>
        <w:lang w:val="es-ES" w:eastAsia="en-US" w:bidi="ar-SA"/>
      </w:rPr>
    </w:lvl>
    <w:lvl w:ilvl="8" w:tplc="9B5CA768">
      <w:numFmt w:val="bullet"/>
      <w:lvlText w:val="•"/>
      <w:lvlJc w:val="left"/>
      <w:pPr>
        <w:ind w:left="785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56205D88"/>
    <w:multiLevelType w:val="multilevel"/>
    <w:tmpl w:val="F8D23B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6D12784"/>
    <w:multiLevelType w:val="hybridMultilevel"/>
    <w:tmpl w:val="43440ED2"/>
    <w:lvl w:ilvl="0" w:tplc="0A8020A0">
      <w:numFmt w:val="bullet"/>
      <w:lvlText w:val=""/>
      <w:lvlJc w:val="left"/>
      <w:pPr>
        <w:ind w:left="64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1E1E"/>
        <w:spacing w:val="0"/>
        <w:w w:val="99"/>
        <w:sz w:val="20"/>
        <w:szCs w:val="20"/>
        <w:lang w:val="es-ES" w:eastAsia="en-US" w:bidi="ar-SA"/>
      </w:rPr>
    </w:lvl>
    <w:lvl w:ilvl="1" w:tplc="18C218CE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2" w:tplc="00E6D494">
      <w:numFmt w:val="bullet"/>
      <w:lvlText w:val="•"/>
      <w:lvlJc w:val="left"/>
      <w:pPr>
        <w:ind w:left="2324" w:hanging="360"/>
      </w:pPr>
      <w:rPr>
        <w:rFonts w:hint="default"/>
        <w:lang w:val="es-ES" w:eastAsia="en-US" w:bidi="ar-SA"/>
      </w:rPr>
    </w:lvl>
    <w:lvl w:ilvl="3" w:tplc="E5DCAB58">
      <w:numFmt w:val="bullet"/>
      <w:lvlText w:val="•"/>
      <w:lvlJc w:val="left"/>
      <w:pPr>
        <w:ind w:left="3166" w:hanging="360"/>
      </w:pPr>
      <w:rPr>
        <w:rFonts w:hint="default"/>
        <w:lang w:val="es-ES" w:eastAsia="en-US" w:bidi="ar-SA"/>
      </w:rPr>
    </w:lvl>
    <w:lvl w:ilvl="4" w:tplc="D6B69C48">
      <w:numFmt w:val="bullet"/>
      <w:lvlText w:val="•"/>
      <w:lvlJc w:val="left"/>
      <w:pPr>
        <w:ind w:left="4009" w:hanging="360"/>
      </w:pPr>
      <w:rPr>
        <w:rFonts w:hint="default"/>
        <w:lang w:val="es-ES" w:eastAsia="en-US" w:bidi="ar-SA"/>
      </w:rPr>
    </w:lvl>
    <w:lvl w:ilvl="5" w:tplc="F96ADED6">
      <w:numFmt w:val="bullet"/>
      <w:lvlText w:val="•"/>
      <w:lvlJc w:val="left"/>
      <w:pPr>
        <w:ind w:left="4851" w:hanging="360"/>
      </w:pPr>
      <w:rPr>
        <w:rFonts w:hint="default"/>
        <w:lang w:val="es-ES" w:eastAsia="en-US" w:bidi="ar-SA"/>
      </w:rPr>
    </w:lvl>
    <w:lvl w:ilvl="6" w:tplc="7C369BE2">
      <w:numFmt w:val="bullet"/>
      <w:lvlText w:val="•"/>
      <w:lvlJc w:val="left"/>
      <w:pPr>
        <w:ind w:left="5693" w:hanging="360"/>
      </w:pPr>
      <w:rPr>
        <w:rFonts w:hint="default"/>
        <w:lang w:val="es-ES" w:eastAsia="en-US" w:bidi="ar-SA"/>
      </w:rPr>
    </w:lvl>
    <w:lvl w:ilvl="7" w:tplc="A1801BAE">
      <w:numFmt w:val="bullet"/>
      <w:lvlText w:val="•"/>
      <w:lvlJc w:val="left"/>
      <w:pPr>
        <w:ind w:left="6536" w:hanging="360"/>
      </w:pPr>
      <w:rPr>
        <w:rFonts w:hint="default"/>
        <w:lang w:val="es-ES" w:eastAsia="en-US" w:bidi="ar-SA"/>
      </w:rPr>
    </w:lvl>
    <w:lvl w:ilvl="8" w:tplc="591CFEF0">
      <w:numFmt w:val="bullet"/>
      <w:lvlText w:val="•"/>
      <w:lvlJc w:val="left"/>
      <w:pPr>
        <w:ind w:left="7378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6BA72852"/>
    <w:multiLevelType w:val="hybridMultilevel"/>
    <w:tmpl w:val="0A640E16"/>
    <w:lvl w:ilvl="0" w:tplc="AA1EE910">
      <w:numFmt w:val="bullet"/>
      <w:lvlText w:val="-"/>
      <w:lvlJc w:val="left"/>
      <w:pPr>
        <w:ind w:left="806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1" w:tplc="AE48A904">
      <w:numFmt w:val="bullet"/>
      <w:lvlText w:val="•"/>
      <w:lvlJc w:val="left"/>
      <w:pPr>
        <w:ind w:left="1683" w:hanging="360"/>
      </w:pPr>
      <w:rPr>
        <w:rFonts w:hint="default"/>
        <w:lang w:val="es-ES" w:eastAsia="en-US" w:bidi="ar-SA"/>
      </w:rPr>
    </w:lvl>
    <w:lvl w:ilvl="2" w:tplc="73B42076">
      <w:numFmt w:val="bullet"/>
      <w:lvlText w:val="•"/>
      <w:lvlJc w:val="left"/>
      <w:pPr>
        <w:ind w:left="2566" w:hanging="360"/>
      </w:pPr>
      <w:rPr>
        <w:rFonts w:hint="default"/>
        <w:lang w:val="es-ES" w:eastAsia="en-US" w:bidi="ar-SA"/>
      </w:rPr>
    </w:lvl>
    <w:lvl w:ilvl="3" w:tplc="B0F88F92">
      <w:numFmt w:val="bullet"/>
      <w:lvlText w:val="•"/>
      <w:lvlJc w:val="left"/>
      <w:pPr>
        <w:ind w:left="3449" w:hanging="360"/>
      </w:pPr>
      <w:rPr>
        <w:rFonts w:hint="default"/>
        <w:lang w:val="es-ES" w:eastAsia="en-US" w:bidi="ar-SA"/>
      </w:rPr>
    </w:lvl>
    <w:lvl w:ilvl="4" w:tplc="6A88734C">
      <w:numFmt w:val="bullet"/>
      <w:lvlText w:val="•"/>
      <w:lvlJc w:val="left"/>
      <w:pPr>
        <w:ind w:left="4333" w:hanging="360"/>
      </w:pPr>
      <w:rPr>
        <w:rFonts w:hint="default"/>
        <w:lang w:val="es-ES" w:eastAsia="en-US" w:bidi="ar-SA"/>
      </w:rPr>
    </w:lvl>
    <w:lvl w:ilvl="5" w:tplc="A4D03FD2">
      <w:numFmt w:val="bullet"/>
      <w:lvlText w:val="•"/>
      <w:lvlJc w:val="left"/>
      <w:pPr>
        <w:ind w:left="5216" w:hanging="360"/>
      </w:pPr>
      <w:rPr>
        <w:rFonts w:hint="default"/>
        <w:lang w:val="es-ES" w:eastAsia="en-US" w:bidi="ar-SA"/>
      </w:rPr>
    </w:lvl>
    <w:lvl w:ilvl="6" w:tplc="D02CD538">
      <w:numFmt w:val="bullet"/>
      <w:lvlText w:val="•"/>
      <w:lvlJc w:val="left"/>
      <w:pPr>
        <w:ind w:left="6099" w:hanging="360"/>
      </w:pPr>
      <w:rPr>
        <w:rFonts w:hint="default"/>
        <w:lang w:val="es-ES" w:eastAsia="en-US" w:bidi="ar-SA"/>
      </w:rPr>
    </w:lvl>
    <w:lvl w:ilvl="7" w:tplc="450E86E0">
      <w:numFmt w:val="bullet"/>
      <w:lvlText w:val="•"/>
      <w:lvlJc w:val="left"/>
      <w:pPr>
        <w:ind w:left="6983" w:hanging="360"/>
      </w:pPr>
      <w:rPr>
        <w:rFonts w:hint="default"/>
        <w:lang w:val="es-ES" w:eastAsia="en-US" w:bidi="ar-SA"/>
      </w:rPr>
    </w:lvl>
    <w:lvl w:ilvl="8" w:tplc="D868A46E">
      <w:numFmt w:val="bullet"/>
      <w:lvlText w:val="•"/>
      <w:lvlJc w:val="left"/>
      <w:pPr>
        <w:ind w:left="7866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754777B1"/>
    <w:multiLevelType w:val="hybridMultilevel"/>
    <w:tmpl w:val="438489A2"/>
    <w:lvl w:ilvl="0" w:tplc="9DAA2086">
      <w:numFmt w:val="bullet"/>
      <w:lvlText w:val="•"/>
      <w:lvlJc w:val="left"/>
      <w:pPr>
        <w:ind w:left="287" w:hanging="437"/>
      </w:pPr>
      <w:rPr>
        <w:rFonts w:ascii="Verdana" w:eastAsia="Verdana" w:hAnsi="Verdana" w:cs="Verdana" w:hint="default"/>
        <w:b w:val="0"/>
        <w:bCs w:val="0"/>
        <w:i w:val="0"/>
        <w:iCs w:val="0"/>
        <w:color w:val="1F1E1E"/>
        <w:spacing w:val="0"/>
        <w:w w:val="110"/>
        <w:sz w:val="20"/>
        <w:szCs w:val="20"/>
        <w:lang w:val="es-ES" w:eastAsia="en-US" w:bidi="ar-SA"/>
      </w:rPr>
    </w:lvl>
    <w:lvl w:ilvl="1" w:tplc="F9E0B2B8">
      <w:numFmt w:val="bullet"/>
      <w:lvlText w:val="•"/>
      <w:lvlJc w:val="left"/>
      <w:pPr>
        <w:ind w:left="1158" w:hanging="437"/>
      </w:pPr>
      <w:rPr>
        <w:rFonts w:hint="default"/>
        <w:lang w:val="es-ES" w:eastAsia="en-US" w:bidi="ar-SA"/>
      </w:rPr>
    </w:lvl>
    <w:lvl w:ilvl="2" w:tplc="E28E041C">
      <w:numFmt w:val="bullet"/>
      <w:lvlText w:val="•"/>
      <w:lvlJc w:val="left"/>
      <w:pPr>
        <w:ind w:left="2036" w:hanging="437"/>
      </w:pPr>
      <w:rPr>
        <w:rFonts w:hint="default"/>
        <w:lang w:val="es-ES" w:eastAsia="en-US" w:bidi="ar-SA"/>
      </w:rPr>
    </w:lvl>
    <w:lvl w:ilvl="3" w:tplc="F77CD3D4">
      <w:numFmt w:val="bullet"/>
      <w:lvlText w:val="•"/>
      <w:lvlJc w:val="left"/>
      <w:pPr>
        <w:ind w:left="2914" w:hanging="437"/>
      </w:pPr>
      <w:rPr>
        <w:rFonts w:hint="default"/>
        <w:lang w:val="es-ES" w:eastAsia="en-US" w:bidi="ar-SA"/>
      </w:rPr>
    </w:lvl>
    <w:lvl w:ilvl="4" w:tplc="265A966C">
      <w:numFmt w:val="bullet"/>
      <w:lvlText w:val="•"/>
      <w:lvlJc w:val="left"/>
      <w:pPr>
        <w:ind w:left="3793" w:hanging="437"/>
      </w:pPr>
      <w:rPr>
        <w:rFonts w:hint="default"/>
        <w:lang w:val="es-ES" w:eastAsia="en-US" w:bidi="ar-SA"/>
      </w:rPr>
    </w:lvl>
    <w:lvl w:ilvl="5" w:tplc="177AED5A">
      <w:numFmt w:val="bullet"/>
      <w:lvlText w:val="•"/>
      <w:lvlJc w:val="left"/>
      <w:pPr>
        <w:ind w:left="4671" w:hanging="437"/>
      </w:pPr>
      <w:rPr>
        <w:rFonts w:hint="default"/>
        <w:lang w:val="es-ES" w:eastAsia="en-US" w:bidi="ar-SA"/>
      </w:rPr>
    </w:lvl>
    <w:lvl w:ilvl="6" w:tplc="3508C55A">
      <w:numFmt w:val="bullet"/>
      <w:lvlText w:val="•"/>
      <w:lvlJc w:val="left"/>
      <w:pPr>
        <w:ind w:left="5549" w:hanging="437"/>
      </w:pPr>
      <w:rPr>
        <w:rFonts w:hint="default"/>
        <w:lang w:val="es-ES" w:eastAsia="en-US" w:bidi="ar-SA"/>
      </w:rPr>
    </w:lvl>
    <w:lvl w:ilvl="7" w:tplc="977E65AC">
      <w:numFmt w:val="bullet"/>
      <w:lvlText w:val="•"/>
      <w:lvlJc w:val="left"/>
      <w:pPr>
        <w:ind w:left="6428" w:hanging="437"/>
      </w:pPr>
      <w:rPr>
        <w:rFonts w:hint="default"/>
        <w:lang w:val="es-ES" w:eastAsia="en-US" w:bidi="ar-SA"/>
      </w:rPr>
    </w:lvl>
    <w:lvl w:ilvl="8" w:tplc="EC4EE986">
      <w:numFmt w:val="bullet"/>
      <w:lvlText w:val="•"/>
      <w:lvlJc w:val="left"/>
      <w:pPr>
        <w:ind w:left="7306" w:hanging="437"/>
      </w:pPr>
      <w:rPr>
        <w:rFonts w:hint="default"/>
        <w:lang w:val="es-ES" w:eastAsia="en-US" w:bidi="ar-SA"/>
      </w:rPr>
    </w:lvl>
  </w:abstractNum>
  <w:num w:numId="1" w16cid:durableId="191118404">
    <w:abstractNumId w:val="8"/>
  </w:num>
  <w:num w:numId="2" w16cid:durableId="1015035981">
    <w:abstractNumId w:val="10"/>
  </w:num>
  <w:num w:numId="3" w16cid:durableId="665321753">
    <w:abstractNumId w:val="6"/>
  </w:num>
  <w:num w:numId="4" w16cid:durableId="1387877122">
    <w:abstractNumId w:val="4"/>
  </w:num>
  <w:num w:numId="5" w16cid:durableId="1235505681">
    <w:abstractNumId w:val="9"/>
  </w:num>
  <w:num w:numId="6" w16cid:durableId="295917996">
    <w:abstractNumId w:val="7"/>
  </w:num>
  <w:num w:numId="7" w16cid:durableId="1408309671">
    <w:abstractNumId w:val="2"/>
  </w:num>
  <w:num w:numId="8" w16cid:durableId="1454252617">
    <w:abstractNumId w:val="3"/>
  </w:num>
  <w:num w:numId="9" w16cid:durableId="176697121">
    <w:abstractNumId w:val="1"/>
  </w:num>
  <w:num w:numId="10" w16cid:durableId="1258322913">
    <w:abstractNumId w:val="5"/>
  </w:num>
  <w:num w:numId="11" w16cid:durableId="653870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0" w:nlCheck="1" w:checkStyle="0"/>
  <w:activeWritingStyle w:appName="MSWord" w:lang="es-PE" w:vendorID="64" w:dllVersion="0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D9E"/>
    <w:rsid w:val="00027D03"/>
    <w:rsid w:val="00032350"/>
    <w:rsid w:val="00042DA9"/>
    <w:rsid w:val="00045CF0"/>
    <w:rsid w:val="00086E48"/>
    <w:rsid w:val="000E1F11"/>
    <w:rsid w:val="000E4635"/>
    <w:rsid w:val="00105D69"/>
    <w:rsid w:val="0011758D"/>
    <w:rsid w:val="001206A9"/>
    <w:rsid w:val="00140764"/>
    <w:rsid w:val="00177D2F"/>
    <w:rsid w:val="001C11C9"/>
    <w:rsid w:val="001C63E7"/>
    <w:rsid w:val="001D6E6B"/>
    <w:rsid w:val="001F18A2"/>
    <w:rsid w:val="001F3148"/>
    <w:rsid w:val="00226C63"/>
    <w:rsid w:val="002451C0"/>
    <w:rsid w:val="00266EAC"/>
    <w:rsid w:val="00273391"/>
    <w:rsid w:val="0029042F"/>
    <w:rsid w:val="002C53EB"/>
    <w:rsid w:val="002D2BFE"/>
    <w:rsid w:val="002E0C51"/>
    <w:rsid w:val="002F48B5"/>
    <w:rsid w:val="00306A86"/>
    <w:rsid w:val="00315F7C"/>
    <w:rsid w:val="00327112"/>
    <w:rsid w:val="00385292"/>
    <w:rsid w:val="00387F2E"/>
    <w:rsid w:val="003C2652"/>
    <w:rsid w:val="00411DE1"/>
    <w:rsid w:val="00420409"/>
    <w:rsid w:val="00453DB3"/>
    <w:rsid w:val="00456A82"/>
    <w:rsid w:val="00467C7D"/>
    <w:rsid w:val="0047598B"/>
    <w:rsid w:val="00486091"/>
    <w:rsid w:val="004A01D1"/>
    <w:rsid w:val="004A1873"/>
    <w:rsid w:val="004D5040"/>
    <w:rsid w:val="0051168E"/>
    <w:rsid w:val="005316F9"/>
    <w:rsid w:val="00543D54"/>
    <w:rsid w:val="00557B1D"/>
    <w:rsid w:val="00577D9E"/>
    <w:rsid w:val="00582E56"/>
    <w:rsid w:val="005C6180"/>
    <w:rsid w:val="005E18F3"/>
    <w:rsid w:val="005E235E"/>
    <w:rsid w:val="005E5C4C"/>
    <w:rsid w:val="006000F0"/>
    <w:rsid w:val="00602867"/>
    <w:rsid w:val="006528E1"/>
    <w:rsid w:val="006F40F0"/>
    <w:rsid w:val="007018CA"/>
    <w:rsid w:val="0073454A"/>
    <w:rsid w:val="00751C3F"/>
    <w:rsid w:val="007654EB"/>
    <w:rsid w:val="00771A88"/>
    <w:rsid w:val="00784501"/>
    <w:rsid w:val="007A6E53"/>
    <w:rsid w:val="007C402A"/>
    <w:rsid w:val="007E785A"/>
    <w:rsid w:val="00806510"/>
    <w:rsid w:val="00810A85"/>
    <w:rsid w:val="00812709"/>
    <w:rsid w:val="008175A3"/>
    <w:rsid w:val="008216DC"/>
    <w:rsid w:val="00826DAD"/>
    <w:rsid w:val="008338FE"/>
    <w:rsid w:val="00882C1C"/>
    <w:rsid w:val="00884E28"/>
    <w:rsid w:val="00895CB6"/>
    <w:rsid w:val="00896E47"/>
    <w:rsid w:val="00900DE5"/>
    <w:rsid w:val="00905EF7"/>
    <w:rsid w:val="00906AFF"/>
    <w:rsid w:val="00926F79"/>
    <w:rsid w:val="00934E41"/>
    <w:rsid w:val="009614FF"/>
    <w:rsid w:val="00974E91"/>
    <w:rsid w:val="009F503F"/>
    <w:rsid w:val="00A17829"/>
    <w:rsid w:val="00A21690"/>
    <w:rsid w:val="00A472ED"/>
    <w:rsid w:val="00A87FBE"/>
    <w:rsid w:val="00AD0B83"/>
    <w:rsid w:val="00AF6D69"/>
    <w:rsid w:val="00B01CE8"/>
    <w:rsid w:val="00B210E8"/>
    <w:rsid w:val="00B412B9"/>
    <w:rsid w:val="00B45DCA"/>
    <w:rsid w:val="00B71EC9"/>
    <w:rsid w:val="00B9513A"/>
    <w:rsid w:val="00BA6BBC"/>
    <w:rsid w:val="00BC0925"/>
    <w:rsid w:val="00BD15B7"/>
    <w:rsid w:val="00BF75C1"/>
    <w:rsid w:val="00C0411B"/>
    <w:rsid w:val="00C24076"/>
    <w:rsid w:val="00C3756B"/>
    <w:rsid w:val="00C46472"/>
    <w:rsid w:val="00C56719"/>
    <w:rsid w:val="00C600FC"/>
    <w:rsid w:val="00C75928"/>
    <w:rsid w:val="00C77279"/>
    <w:rsid w:val="00CB535E"/>
    <w:rsid w:val="00CD5256"/>
    <w:rsid w:val="00CE794F"/>
    <w:rsid w:val="00CF09AF"/>
    <w:rsid w:val="00D002E5"/>
    <w:rsid w:val="00D00853"/>
    <w:rsid w:val="00D03D46"/>
    <w:rsid w:val="00D33D97"/>
    <w:rsid w:val="00D36ECA"/>
    <w:rsid w:val="00D52BC4"/>
    <w:rsid w:val="00D6293F"/>
    <w:rsid w:val="00DA7868"/>
    <w:rsid w:val="00DB64F5"/>
    <w:rsid w:val="00DC5145"/>
    <w:rsid w:val="00DC5F56"/>
    <w:rsid w:val="00DE38CC"/>
    <w:rsid w:val="00DE7356"/>
    <w:rsid w:val="00DF1629"/>
    <w:rsid w:val="00E05937"/>
    <w:rsid w:val="00E12AAA"/>
    <w:rsid w:val="00E3221B"/>
    <w:rsid w:val="00E3236A"/>
    <w:rsid w:val="00E33DDC"/>
    <w:rsid w:val="00E44202"/>
    <w:rsid w:val="00E53B07"/>
    <w:rsid w:val="00E606CE"/>
    <w:rsid w:val="00EC14BA"/>
    <w:rsid w:val="00ED411A"/>
    <w:rsid w:val="00F174FA"/>
    <w:rsid w:val="00F17921"/>
    <w:rsid w:val="00F3696C"/>
    <w:rsid w:val="00F91611"/>
    <w:rsid w:val="00FC36B1"/>
    <w:rsid w:val="00FE279F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AD68E87"/>
  <w15:docId w15:val="{EAC58718-269D-48F6-B600-D0157379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Ttulo">
    <w:name w:val="Title"/>
    <w:basedOn w:val="Normal"/>
    <w:uiPriority w:val="10"/>
    <w:qFormat/>
    <w:pPr>
      <w:spacing w:before="90"/>
    </w:pPr>
    <w:rPr>
      <w:rFonts w:ascii="Tahoma" w:eastAsia="Tahoma" w:hAnsi="Tahoma" w:cs="Tahoma"/>
      <w:b/>
      <w:bCs/>
      <w:sz w:val="20"/>
      <w:szCs w:val="20"/>
    </w:rPr>
  </w:style>
  <w:style w:type="paragraph" w:styleId="Prrafodelista">
    <w:name w:val="List Paragraph"/>
    <w:aliases w:val="Nivel 3,Fundamentacion,Iz - Párrafo de lista,Sivsa Parrafo,bei normal,Titulo de Fígura,TITULO A,Cuadro 2-1,Bulleted List,Lista vistosa - Énfasis 11,Párrafo de lista2,Titulo parrafo,Punto,3,Footnote,List Paragraph1,Lista 123,titulo,lp1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PrrafodelistaCar">
    <w:name w:val="Párrafo de lista Car"/>
    <w:aliases w:val="Nivel 3 Car,Fundamentacion Car,Iz - Párrafo de lista Car,Sivsa Parrafo Car,bei normal Car,Titulo de Fígura Car,TITULO A Car,Cuadro 2-1 Car,Bulleted List Car,Lista vistosa - Énfasis 11 Car,Párrafo de lista2 Car,Titulo parrafo Car"/>
    <w:link w:val="Prrafodelista"/>
    <w:uiPriority w:val="34"/>
    <w:qFormat/>
    <w:rsid w:val="00D03D46"/>
    <w:rPr>
      <w:rFonts w:ascii="Verdana" w:eastAsia="Verdana" w:hAnsi="Verdana" w:cs="Verdan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059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05937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059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05937"/>
    <w:rPr>
      <w:rFonts w:ascii="Verdana" w:eastAsia="Verdana" w:hAnsi="Verdana" w:cs="Verdana"/>
      <w:lang w:val="es-ES"/>
    </w:rPr>
  </w:style>
  <w:style w:type="character" w:styleId="Hipervnculo">
    <w:name w:val="Hyperlink"/>
    <w:qFormat/>
    <w:rsid w:val="00E606CE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rsid w:val="00E606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6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TDR_N° 0245 ESPECIALISTA EN CONTRATACIONDEL ESTADO - BL_Rev01</vt:lpstr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TDR_N° 0245 ESPECIALISTA EN CONTRATACIONDEL ESTADO - BL_Rev01</dc:title>
  <dc:subject/>
  <dc:creator>1277-uabas-oa</dc:creator>
  <cp:keywords/>
  <cp:lastModifiedBy>Diego Castillo Aliaga</cp:lastModifiedBy>
  <cp:revision>114</cp:revision>
  <cp:lastPrinted>2025-04-01T19:55:00Z</cp:lastPrinted>
  <dcterms:created xsi:type="dcterms:W3CDTF">2025-04-01T20:01:00Z</dcterms:created>
  <dcterms:modified xsi:type="dcterms:W3CDTF">2025-05-15T17:50:00Z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2024-01-05T00:00:00Z</vt:filetime>
  </property>
  <property fmtid="{D5CDD505-2E9C-101B-9397-08002B2CF9AE}" pid="5" name="Producer">
    <vt:lpwstr>Microsoft® Word 2013</vt:lpwstr>
  </property>
</Properties>
</file>