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A14EB" w14:textId="20298607" w:rsidR="00C571EB" w:rsidRPr="00E11E4C" w:rsidRDefault="00C571EB" w:rsidP="00C571EB">
      <w:pPr>
        <w:jc w:val="center"/>
        <w:rPr>
          <w:b/>
          <w:sz w:val="24"/>
          <w:szCs w:val="24"/>
          <w:u w:val="single"/>
        </w:rPr>
      </w:pPr>
      <w:r w:rsidRPr="00E11E4C">
        <w:rPr>
          <w:b/>
          <w:sz w:val="24"/>
          <w:szCs w:val="24"/>
          <w:u w:val="single"/>
        </w:rPr>
        <w:t>NOTA DE PRENSA</w:t>
      </w:r>
      <w:r w:rsidR="002F36B6">
        <w:rPr>
          <w:b/>
          <w:sz w:val="24"/>
          <w:szCs w:val="24"/>
          <w:u w:val="single"/>
        </w:rPr>
        <w:t xml:space="preserve"> </w:t>
      </w:r>
      <w:r w:rsidR="00FD7309" w:rsidRPr="000F4E72">
        <w:rPr>
          <w:b/>
          <w:sz w:val="24"/>
          <w:szCs w:val="24"/>
          <w:u w:val="single"/>
        </w:rPr>
        <w:t>26</w:t>
      </w:r>
      <w:r w:rsidR="00BC367E">
        <w:rPr>
          <w:b/>
          <w:sz w:val="24"/>
          <w:szCs w:val="24"/>
          <w:u w:val="single"/>
        </w:rPr>
        <w:t>5</w:t>
      </w:r>
      <w:r w:rsidRPr="00E11E4C">
        <w:rPr>
          <w:b/>
          <w:sz w:val="24"/>
          <w:szCs w:val="24"/>
          <w:u w:val="single"/>
        </w:rPr>
        <w:t xml:space="preserve"> - 2025</w:t>
      </w:r>
    </w:p>
    <w:p w14:paraId="64012CAC" w14:textId="77777777" w:rsidR="00C571EB" w:rsidRPr="00932A8D" w:rsidRDefault="00C571EB" w:rsidP="00C571EB">
      <w:pPr>
        <w:jc w:val="both"/>
      </w:pPr>
    </w:p>
    <w:p w14:paraId="4DA1A037" w14:textId="77777777" w:rsidR="002C470E" w:rsidRPr="007A7BCF" w:rsidRDefault="002C470E" w:rsidP="002C470E">
      <w:pPr>
        <w:shd w:val="clear" w:color="auto" w:fill="FFFFFF"/>
        <w:ind w:left="360"/>
        <w:jc w:val="center"/>
        <w:textDirection w:val="btLr"/>
        <w:rPr>
          <w:b/>
          <w:sz w:val="28"/>
          <w:szCs w:val="28"/>
        </w:rPr>
      </w:pPr>
      <w:r w:rsidRPr="007A7BCF">
        <w:rPr>
          <w:b/>
          <w:sz w:val="28"/>
          <w:szCs w:val="28"/>
        </w:rPr>
        <w:t>Día Mundial de la Alimentación: Midis garantiza seguridad alimentaria a más de 7 millones de personas en todo el país</w:t>
      </w:r>
    </w:p>
    <w:p w14:paraId="4C8C3340" w14:textId="77777777" w:rsidR="002C470E" w:rsidRPr="002C470E" w:rsidRDefault="002C470E" w:rsidP="002C470E">
      <w:pPr>
        <w:shd w:val="clear" w:color="auto" w:fill="FFFFFF"/>
        <w:ind w:left="360"/>
        <w:jc w:val="center"/>
        <w:textDirection w:val="btLr"/>
        <w:rPr>
          <w:b/>
          <w:sz w:val="24"/>
          <w:szCs w:val="24"/>
        </w:rPr>
      </w:pPr>
    </w:p>
    <w:p w14:paraId="3996ECDA" w14:textId="14719661" w:rsidR="002C470E" w:rsidRPr="007A7BCF" w:rsidRDefault="002C470E" w:rsidP="007A7BCF">
      <w:pPr>
        <w:pStyle w:val="Prrafodelista"/>
        <w:numPr>
          <w:ilvl w:val="0"/>
          <w:numId w:val="10"/>
        </w:numPr>
        <w:shd w:val="clear" w:color="auto" w:fill="FFFFFF"/>
        <w:textDirection w:val="btLr"/>
        <w:rPr>
          <w:b/>
        </w:rPr>
      </w:pPr>
      <w:r w:rsidRPr="007A7BCF">
        <w:rPr>
          <w:b/>
        </w:rPr>
        <w:t>Los programas sociales del Midis contribuyen en velar por el derecho a la alimentación de la población en situación de pobreza y vulnerabilidad.</w:t>
      </w:r>
    </w:p>
    <w:p w14:paraId="6E092F6C" w14:textId="77777777" w:rsidR="002C470E" w:rsidRPr="007A7BCF" w:rsidRDefault="002C470E" w:rsidP="002C470E">
      <w:pPr>
        <w:shd w:val="clear" w:color="auto" w:fill="FFFFFF"/>
        <w:ind w:left="360"/>
        <w:jc w:val="center"/>
        <w:textDirection w:val="btLr"/>
        <w:rPr>
          <w:b/>
        </w:rPr>
      </w:pPr>
    </w:p>
    <w:p w14:paraId="716D4655" w14:textId="77777777" w:rsidR="002C470E" w:rsidRPr="007A7BCF" w:rsidRDefault="002C470E" w:rsidP="002C470E">
      <w:pPr>
        <w:shd w:val="clear" w:color="auto" w:fill="FFFFFF"/>
        <w:ind w:left="360"/>
        <w:jc w:val="both"/>
        <w:textDirection w:val="btLr"/>
        <w:rPr>
          <w:bCs/>
        </w:rPr>
      </w:pPr>
      <w:r w:rsidRPr="007A7BCF">
        <w:rPr>
          <w:bCs/>
        </w:rPr>
        <w:t>En el Día Mundial de la Alimentación, el Ministerio de Desarrollo e Inclusión Social (Midis) reafirma su compromiso de garantizar la seguridad alimentaria para más de 7 millones de personas en el todo el país, con el objetivo de contribuir en el acceso a la alimentación saludable, y la lucha contra la desnutrición crónica y la anemia infantil.</w:t>
      </w:r>
    </w:p>
    <w:p w14:paraId="08300DB7" w14:textId="77777777" w:rsidR="002C470E" w:rsidRPr="007A7BCF" w:rsidRDefault="002C470E" w:rsidP="002C470E">
      <w:pPr>
        <w:shd w:val="clear" w:color="auto" w:fill="FFFFFF"/>
        <w:ind w:left="360"/>
        <w:jc w:val="both"/>
        <w:textDirection w:val="btLr"/>
        <w:rPr>
          <w:bCs/>
        </w:rPr>
      </w:pPr>
    </w:p>
    <w:p w14:paraId="368AC913" w14:textId="77777777" w:rsidR="002C470E" w:rsidRPr="007A7BCF" w:rsidRDefault="002C470E" w:rsidP="002C470E">
      <w:pPr>
        <w:shd w:val="clear" w:color="auto" w:fill="FFFFFF"/>
        <w:ind w:left="360"/>
        <w:jc w:val="both"/>
        <w:textDirection w:val="btLr"/>
        <w:rPr>
          <w:bCs/>
        </w:rPr>
      </w:pPr>
      <w:r w:rsidRPr="007A7BCF">
        <w:rPr>
          <w:bCs/>
        </w:rPr>
        <w:t>En  este marco, se debe resaltar que, para el fortalecimiento del desarrollo infantil temprano, el Midis, a través del programa Cuna Más, brinda alimentación rica en proteínas y hierro a más de 65 mil niñas y niños, que son parte del Servicio de Cuidado Diurno en los Centros Infantiles de Atención Integral (CIAI), donde reciben tres alimentos al día (refrigerio de media mañana, almuerzo y refrigerio de media tarde).</w:t>
      </w:r>
    </w:p>
    <w:p w14:paraId="05509C19" w14:textId="77777777" w:rsidR="002C470E" w:rsidRPr="007A7BCF" w:rsidRDefault="002C470E" w:rsidP="002C470E">
      <w:pPr>
        <w:shd w:val="clear" w:color="auto" w:fill="FFFFFF"/>
        <w:ind w:left="360"/>
        <w:jc w:val="both"/>
        <w:textDirection w:val="btLr"/>
        <w:rPr>
          <w:bCs/>
        </w:rPr>
      </w:pPr>
    </w:p>
    <w:p w14:paraId="0081156C" w14:textId="77777777" w:rsidR="002C470E" w:rsidRPr="007A7BCF" w:rsidRDefault="002C470E" w:rsidP="002C470E">
      <w:pPr>
        <w:shd w:val="clear" w:color="auto" w:fill="FFFFFF"/>
        <w:ind w:left="360"/>
        <w:jc w:val="both"/>
        <w:textDirection w:val="btLr"/>
        <w:rPr>
          <w:bCs/>
        </w:rPr>
      </w:pPr>
      <w:r w:rsidRPr="007A7BCF">
        <w:rPr>
          <w:bCs/>
        </w:rPr>
        <w:t>A su vez, el Programa Nacional de Alimentación Escolar Comunitario ha reforzado la supervisión y el control de la entrega de alimentos inocuos a más de 4.2 millones de escolares a nivel nacional, incorporando insumos frescos mediante la subvención económica a padres de familia, para la compra de productos locales, y el piloto “Desayuno en mi Cole”, que se prepara en la misma institución educativa, para su consumo inmediato.</w:t>
      </w:r>
    </w:p>
    <w:p w14:paraId="731F7565" w14:textId="77777777" w:rsidR="002C470E" w:rsidRPr="007A7BCF" w:rsidRDefault="002C470E" w:rsidP="002C470E">
      <w:pPr>
        <w:shd w:val="clear" w:color="auto" w:fill="FFFFFF"/>
        <w:ind w:left="360"/>
        <w:jc w:val="both"/>
        <w:textDirection w:val="btLr"/>
        <w:rPr>
          <w:bCs/>
        </w:rPr>
      </w:pPr>
    </w:p>
    <w:p w14:paraId="18E7A77F" w14:textId="77777777" w:rsidR="002C470E" w:rsidRPr="007A7BCF" w:rsidRDefault="002C470E" w:rsidP="002C470E">
      <w:pPr>
        <w:shd w:val="clear" w:color="auto" w:fill="FFFFFF"/>
        <w:ind w:left="360"/>
        <w:jc w:val="both"/>
        <w:textDirection w:val="btLr"/>
        <w:rPr>
          <w:bCs/>
        </w:rPr>
      </w:pPr>
      <w:r w:rsidRPr="007A7BCF">
        <w:rPr>
          <w:bCs/>
        </w:rPr>
        <w:t>En tanto, el Programa de Complementación Alimentaria atiende a más de 19 mil comedores populares y ollas comunes a nivel nacional, cuyas lideresas reciben subsidios económicos para la compra de productos frescos, con el fin de complementar las raciones con productos locales, en beneficio de más de un millón de personas en situación de pobreza y vulnerabilidad.</w:t>
      </w:r>
    </w:p>
    <w:p w14:paraId="0A115F46" w14:textId="77777777" w:rsidR="002C470E" w:rsidRPr="007A7BCF" w:rsidRDefault="002C470E" w:rsidP="002C470E">
      <w:pPr>
        <w:shd w:val="clear" w:color="auto" w:fill="FFFFFF"/>
        <w:ind w:left="360"/>
        <w:jc w:val="both"/>
        <w:textDirection w:val="btLr"/>
        <w:rPr>
          <w:bCs/>
        </w:rPr>
      </w:pPr>
    </w:p>
    <w:p w14:paraId="5780B361" w14:textId="77777777" w:rsidR="002C470E" w:rsidRPr="007A7BCF" w:rsidRDefault="002C470E" w:rsidP="002C470E">
      <w:pPr>
        <w:shd w:val="clear" w:color="auto" w:fill="FFFFFF"/>
        <w:ind w:left="360"/>
        <w:jc w:val="both"/>
        <w:textDirection w:val="btLr"/>
        <w:rPr>
          <w:bCs/>
        </w:rPr>
      </w:pPr>
      <w:r w:rsidRPr="007A7BCF">
        <w:rPr>
          <w:bCs/>
        </w:rPr>
        <w:t>Cabe anotar que, con la compra de productos frescos se fomenta la agricultura familiar, la formalización de pequeños proveedores y se dinamiza la economía local.</w:t>
      </w:r>
    </w:p>
    <w:p w14:paraId="7F6E7DDB" w14:textId="77777777" w:rsidR="002C470E" w:rsidRPr="007A7BCF" w:rsidRDefault="002C470E" w:rsidP="002C470E">
      <w:pPr>
        <w:shd w:val="clear" w:color="auto" w:fill="FFFFFF"/>
        <w:ind w:left="360"/>
        <w:jc w:val="both"/>
        <w:textDirection w:val="btLr"/>
        <w:rPr>
          <w:bCs/>
        </w:rPr>
      </w:pPr>
    </w:p>
    <w:p w14:paraId="4CDF30CC" w14:textId="77777777" w:rsidR="002C470E" w:rsidRPr="007A7BCF" w:rsidRDefault="002C470E" w:rsidP="002C470E">
      <w:pPr>
        <w:shd w:val="clear" w:color="auto" w:fill="FFFFFF"/>
        <w:ind w:left="360"/>
        <w:jc w:val="both"/>
        <w:textDirection w:val="btLr"/>
        <w:rPr>
          <w:bCs/>
        </w:rPr>
      </w:pPr>
      <w:r w:rsidRPr="007A7BCF">
        <w:rPr>
          <w:bCs/>
        </w:rPr>
        <w:t>Asimismo, en este día, se debe resaltar que el Midis, gestionó la entrega de más 91 toneladas de pescado por parte de la Sociedad Nacional de Pesquería (SNP), que fueron distribuidos para más de 4900 comedores populares y ollas comunes, que atienden a más de 230 mil usuarios en situación de vulnerabilidad.</w:t>
      </w:r>
    </w:p>
    <w:p w14:paraId="295FCDDD" w14:textId="77777777" w:rsidR="002C470E" w:rsidRPr="007A7BCF" w:rsidRDefault="002C470E" w:rsidP="002C470E">
      <w:pPr>
        <w:shd w:val="clear" w:color="auto" w:fill="FFFFFF"/>
        <w:ind w:left="360"/>
        <w:jc w:val="both"/>
        <w:textDirection w:val="btLr"/>
        <w:rPr>
          <w:bCs/>
        </w:rPr>
      </w:pPr>
    </w:p>
    <w:p w14:paraId="5B696343" w14:textId="77777777" w:rsidR="002C470E" w:rsidRPr="007A7BCF" w:rsidRDefault="002C470E" w:rsidP="002C470E">
      <w:pPr>
        <w:shd w:val="clear" w:color="auto" w:fill="FFFFFF"/>
        <w:ind w:left="360"/>
        <w:jc w:val="both"/>
        <w:textDirection w:val="btLr"/>
        <w:rPr>
          <w:bCs/>
        </w:rPr>
      </w:pPr>
      <w:r w:rsidRPr="007A7BCF">
        <w:rPr>
          <w:bCs/>
        </w:rPr>
        <w:t>Gracias a este trabajo articulado entre el sector público y privado para la entrega de pescado, se mejora la calidad de la alimentación de las personas más necesitadas, y se contribuye en la prevención de la anemia y a la seguridad alimentaria de los usuarios de los comedores populares y ollas comunes.</w:t>
      </w:r>
    </w:p>
    <w:p w14:paraId="7511E238" w14:textId="77777777" w:rsidR="002C470E" w:rsidRPr="007A7BCF" w:rsidRDefault="002C470E" w:rsidP="002C470E">
      <w:pPr>
        <w:shd w:val="clear" w:color="auto" w:fill="FFFFFF"/>
        <w:ind w:left="360"/>
        <w:jc w:val="both"/>
        <w:textDirection w:val="btLr"/>
        <w:rPr>
          <w:b/>
        </w:rPr>
      </w:pPr>
    </w:p>
    <w:p w14:paraId="4A20793A" w14:textId="77777777" w:rsidR="002C470E" w:rsidRPr="007A7BCF" w:rsidRDefault="002C470E" w:rsidP="002C470E">
      <w:pPr>
        <w:shd w:val="clear" w:color="auto" w:fill="FFFFFF"/>
        <w:ind w:left="360"/>
        <w:jc w:val="both"/>
        <w:textDirection w:val="btLr"/>
        <w:rPr>
          <w:b/>
        </w:rPr>
      </w:pPr>
      <w:r w:rsidRPr="007A7BCF">
        <w:rPr>
          <w:b/>
        </w:rPr>
        <w:t>Programa de Vaso de Leche</w:t>
      </w:r>
    </w:p>
    <w:p w14:paraId="5AD77BB6" w14:textId="77777777" w:rsidR="002C470E" w:rsidRPr="007A7BCF" w:rsidRDefault="002C470E" w:rsidP="002C470E">
      <w:pPr>
        <w:shd w:val="clear" w:color="auto" w:fill="FFFFFF"/>
        <w:ind w:left="360"/>
        <w:jc w:val="both"/>
        <w:textDirection w:val="btLr"/>
        <w:rPr>
          <w:bCs/>
        </w:rPr>
      </w:pPr>
      <w:r w:rsidRPr="007A7BCF">
        <w:rPr>
          <w:bCs/>
        </w:rPr>
        <w:t>A su vez, el Midis ha gestionado un presupuesto de S/472 millones para el Programa del Vaso de Leche, que atiende a más de 1.8 millones de usuarios que reciben el complemento alimentario a través de más de 51 mil comités en 1891 gobiernos locales.</w:t>
      </w:r>
    </w:p>
    <w:p w14:paraId="17B1E690" w14:textId="77777777" w:rsidR="002C470E" w:rsidRPr="007A7BCF" w:rsidRDefault="002C470E" w:rsidP="002C470E">
      <w:pPr>
        <w:shd w:val="clear" w:color="auto" w:fill="FFFFFF"/>
        <w:ind w:left="360"/>
        <w:jc w:val="both"/>
        <w:textDirection w:val="btLr"/>
        <w:rPr>
          <w:bCs/>
        </w:rPr>
      </w:pPr>
    </w:p>
    <w:p w14:paraId="1EE6D5F1" w14:textId="77777777" w:rsidR="002C470E" w:rsidRPr="007A7BCF" w:rsidRDefault="002C470E" w:rsidP="002C470E">
      <w:pPr>
        <w:shd w:val="clear" w:color="auto" w:fill="FFFFFF"/>
        <w:ind w:left="360"/>
        <w:jc w:val="both"/>
        <w:textDirection w:val="btLr"/>
        <w:rPr>
          <w:bCs/>
        </w:rPr>
      </w:pPr>
      <w:r w:rsidRPr="007A7BCF">
        <w:rPr>
          <w:bCs/>
        </w:rPr>
        <w:t>Por ello, en el Día Mundial de la Alimentación, desde el Midis nos sumamos a la conmemoración, renovando el compromiso de trabajar cada día por garantizar la seguridad alimentaria y el acceso a una alimentación adecuada, consagrada como un derecho para todos.</w:t>
      </w:r>
    </w:p>
    <w:p w14:paraId="18AA37CC" w14:textId="77777777" w:rsidR="002C470E" w:rsidRPr="007A7BCF" w:rsidRDefault="002C470E" w:rsidP="002C470E">
      <w:pPr>
        <w:shd w:val="clear" w:color="auto" w:fill="FFFFFF"/>
        <w:ind w:left="360"/>
        <w:jc w:val="both"/>
        <w:textDirection w:val="btLr"/>
        <w:rPr>
          <w:bCs/>
        </w:rPr>
      </w:pPr>
    </w:p>
    <w:p w14:paraId="552B5E41" w14:textId="77777777" w:rsidR="002C470E" w:rsidRPr="007A7BCF" w:rsidRDefault="002C470E" w:rsidP="002C470E">
      <w:pPr>
        <w:shd w:val="clear" w:color="auto" w:fill="FFFFFF"/>
        <w:ind w:left="360"/>
        <w:jc w:val="both"/>
        <w:textDirection w:val="btLr"/>
        <w:rPr>
          <w:bCs/>
        </w:rPr>
      </w:pPr>
      <w:r w:rsidRPr="007A7BCF">
        <w:rPr>
          <w:bCs/>
        </w:rPr>
        <w:t>De esta manera, se fortalecerá la entrega de una alimentación nutritiva, con pertinencia cultural y enfoque comunitario, asegurando el bienestar y la protección social de la población vulnerable.</w:t>
      </w:r>
    </w:p>
    <w:p w14:paraId="2022D280" w14:textId="77777777" w:rsidR="002C470E" w:rsidRPr="007A7BCF" w:rsidRDefault="002C470E" w:rsidP="00F83750">
      <w:pPr>
        <w:shd w:val="clear" w:color="auto" w:fill="FFFFFF"/>
        <w:ind w:left="360"/>
        <w:jc w:val="both"/>
        <w:textDirection w:val="btLr"/>
        <w:rPr>
          <w:b/>
        </w:rPr>
      </w:pPr>
    </w:p>
    <w:p w14:paraId="3DB12E36" w14:textId="1134580E" w:rsidR="005709C1" w:rsidRPr="007A7BCF" w:rsidRDefault="005709C1" w:rsidP="00F83750">
      <w:pPr>
        <w:shd w:val="clear" w:color="auto" w:fill="FFFFFF"/>
        <w:ind w:left="360"/>
        <w:jc w:val="both"/>
        <w:textDirection w:val="btLr"/>
        <w:rPr>
          <w:b/>
        </w:rPr>
      </w:pPr>
      <w:r w:rsidRPr="007A7BCF">
        <w:rPr>
          <w:b/>
        </w:rPr>
        <w:t>Lima, 1</w:t>
      </w:r>
      <w:r w:rsidR="00533D42" w:rsidRPr="007A7BCF">
        <w:rPr>
          <w:b/>
        </w:rPr>
        <w:t>6</w:t>
      </w:r>
      <w:r w:rsidRPr="007A7BCF">
        <w:rPr>
          <w:b/>
        </w:rPr>
        <w:t xml:space="preserve"> de octubre de 2025</w:t>
      </w:r>
    </w:p>
    <w:p w14:paraId="16A569B9" w14:textId="488DD834" w:rsidR="00E91624" w:rsidRPr="007A7BCF" w:rsidRDefault="005709C1" w:rsidP="002C470E">
      <w:pPr>
        <w:shd w:val="clear" w:color="auto" w:fill="FFFFFF"/>
        <w:ind w:left="360"/>
        <w:jc w:val="both"/>
        <w:textDirection w:val="btLr"/>
        <w:rPr>
          <w:b/>
        </w:rPr>
      </w:pPr>
      <w:r w:rsidRPr="007A7BCF">
        <w:rPr>
          <w:b/>
        </w:rPr>
        <w:t>OFICINA GENERAL DE COMUNICACIÓN ESTRATÉGICA</w:t>
      </w:r>
    </w:p>
    <w:p w14:paraId="1E3E3396" w14:textId="65A7C5C1" w:rsidR="00BC367E" w:rsidRPr="007A7BCF" w:rsidRDefault="00E91624" w:rsidP="00BC367E">
      <w:pPr>
        <w:shd w:val="clear" w:color="auto" w:fill="FFFFFF"/>
        <w:ind w:left="360"/>
        <w:jc w:val="both"/>
        <w:textDirection w:val="btLr"/>
        <w:rPr>
          <w:b/>
        </w:rPr>
      </w:pPr>
      <w:r w:rsidRPr="007A7BCF">
        <w:rPr>
          <w:b/>
        </w:rPr>
        <w:t xml:space="preserve">Link de fotos:  </w:t>
      </w:r>
      <w:hyperlink r:id="rId7" w:history="1">
        <w:r w:rsidR="00796F83" w:rsidRPr="007A7BCF">
          <w:rPr>
            <w:rStyle w:val="Hipervnculo"/>
            <w:b/>
          </w:rPr>
          <w:t>https://sendgb.com/pdsqcOxBTA6</w:t>
        </w:r>
      </w:hyperlink>
      <w:r w:rsidR="00796F83" w:rsidRPr="007A7BCF">
        <w:rPr>
          <w:b/>
        </w:rPr>
        <w:t xml:space="preserve"> </w:t>
      </w:r>
    </w:p>
    <w:p w14:paraId="62D58DB6" w14:textId="2A835A10" w:rsidR="00E91624" w:rsidRPr="007A7BCF" w:rsidRDefault="00E91624" w:rsidP="00E91624">
      <w:pPr>
        <w:shd w:val="clear" w:color="auto" w:fill="FFFFFF"/>
        <w:ind w:left="360"/>
        <w:jc w:val="both"/>
        <w:textDirection w:val="btLr"/>
        <w:rPr>
          <w:b/>
        </w:rPr>
      </w:pPr>
    </w:p>
    <w:sectPr w:rsidR="00E91624" w:rsidRPr="007A7BCF" w:rsidSect="00932A8D">
      <w:headerReference w:type="default" r:id="rId8"/>
      <w:footerReference w:type="default" r:id="rId9"/>
      <w:headerReference w:type="first" r:id="rId10"/>
      <w:footerReference w:type="first" r:id="rId11"/>
      <w:pgSz w:w="11906" w:h="16838"/>
      <w:pgMar w:top="1440" w:right="1080" w:bottom="1440" w:left="1080" w:header="426" w:footer="93"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995D" w14:textId="77777777" w:rsidR="00FF3E42" w:rsidRDefault="00FF3E42">
      <w:r>
        <w:separator/>
      </w:r>
    </w:p>
  </w:endnote>
  <w:endnote w:type="continuationSeparator" w:id="0">
    <w:p w14:paraId="075D880B" w14:textId="77777777" w:rsidR="00FF3E42" w:rsidRDefault="00FF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C1C2" w14:textId="77777777" w:rsidR="004E0F08" w:rsidRDefault="004E0F08">
    <w:pPr>
      <w:ind w:left="117"/>
      <w:rPr>
        <w:color w:val="19181D"/>
        <w:sz w:val="16"/>
        <w:szCs w:val="16"/>
      </w:rPr>
    </w:pPr>
  </w:p>
  <w:p w14:paraId="66EE0E2F" w14:textId="7655E2BA" w:rsidR="004E0F08" w:rsidRDefault="006018EC">
    <w:pPr>
      <w:ind w:left="117"/>
      <w:rPr>
        <w:color w:val="000000"/>
      </w:rPr>
    </w:pPr>
    <w:r>
      <w:rPr>
        <w:color w:val="19181D"/>
        <w:sz w:val="16"/>
        <w:szCs w:val="16"/>
      </w:rPr>
      <w:t>Av. Paseo de la República 3101, San Isidro, Lima–Perú</w:t>
    </w:r>
  </w:p>
  <w:p w14:paraId="55A311B1" w14:textId="77777777" w:rsidR="004E0F08" w:rsidRDefault="006018EC">
    <w:pPr>
      <w:ind w:left="117"/>
      <w:rPr>
        <w:color w:val="000000"/>
      </w:rPr>
    </w:pPr>
    <w:r>
      <w:rPr>
        <w:color w:val="000000"/>
        <w:sz w:val="16"/>
        <w:szCs w:val="16"/>
      </w:rPr>
      <w:t>Central telefónica:(51-1)631 80 00. Línea gratuita101</w:t>
    </w:r>
  </w:p>
  <w:p w14:paraId="6BEA8D5D" w14:textId="77777777" w:rsidR="004E0F08" w:rsidRDefault="006018EC">
    <w:pPr>
      <w:ind w:left="117"/>
      <w:rPr>
        <w:color w:val="000000"/>
      </w:rPr>
    </w:pPr>
    <w:hyperlink r:id="rId1">
      <w:r>
        <w:rPr>
          <w:b/>
          <w:color w:val="E2101A"/>
          <w:sz w:val="16"/>
          <w:szCs w:val="16"/>
        </w:rPr>
        <w:t>www.gob.pe/midis</w:t>
      </w:r>
    </w:hyperlink>
  </w:p>
  <w:p w14:paraId="203E0F5D" w14:textId="77777777" w:rsidR="004E0F08" w:rsidRDefault="004E0F08">
    <w:pPr>
      <w:ind w:left="117"/>
      <w:rPr>
        <w:b/>
        <w:color w:val="000000"/>
        <w:sz w:val="16"/>
        <w:szCs w:val="16"/>
      </w:rPr>
    </w:pPr>
  </w:p>
  <w:p w14:paraId="07E02FE4" w14:textId="77777777" w:rsidR="004E0F08" w:rsidRDefault="006018EC">
    <w:pPr>
      <w:spacing w:before="9"/>
      <w:ind w:left="118"/>
      <w:rPr>
        <w:color w:val="000000"/>
      </w:rPr>
    </w:pPr>
    <w:r>
      <w:rPr>
        <w:i/>
        <w:color w:val="000000"/>
        <w:sz w:val="16"/>
        <w:szCs w:val="16"/>
      </w:rPr>
      <w:t>“Ética en acción, corrupción sin opción”</w:t>
    </w:r>
  </w:p>
  <w:p w14:paraId="3E99EDC8" w14:textId="77777777" w:rsidR="004E0F08" w:rsidRDefault="006018EC">
    <w:pPr>
      <w:spacing w:before="9"/>
      <w:ind w:left="118"/>
      <w:rPr>
        <w:color w:val="000000"/>
      </w:rPr>
    </w:pPr>
    <w:r>
      <w:rPr>
        <w:i/>
        <w:color w:val="19181D"/>
        <w:sz w:val="16"/>
        <w:szCs w:val="16"/>
      </w:rPr>
      <w:t>CertificadosconISO9001:2015</w:t>
    </w:r>
  </w:p>
  <w:p w14:paraId="3243F516" w14:textId="77777777" w:rsidR="004E0F08" w:rsidRDefault="004E0F08">
    <w:pPr>
      <w:spacing w:before="9"/>
      <w:ind w:left="118"/>
      <w:jc w:val="center"/>
      <w:rPr>
        <w:i/>
        <w:color w:val="000000"/>
        <w:sz w:val="16"/>
        <w:szCs w:val="16"/>
      </w:rPr>
    </w:pPr>
  </w:p>
  <w:p w14:paraId="741E2841" w14:textId="77777777" w:rsidR="004E0F08" w:rsidRDefault="004E0F08">
    <w:pPr>
      <w:tabs>
        <w:tab w:val="center" w:pos="4252"/>
        <w:tab w:val="right" w:pos="8504"/>
      </w:tabs>
      <w:rPr>
        <w:color w:val="000000"/>
      </w:rPr>
    </w:pPr>
  </w:p>
  <w:p w14:paraId="43FB2898" w14:textId="77777777" w:rsidR="004E0F08" w:rsidRDefault="004E0F08">
    <w:pP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FD5A" w14:textId="77777777" w:rsidR="004E0F08" w:rsidRDefault="004E0F08">
    <w:pPr>
      <w:ind w:left="117"/>
      <w:rPr>
        <w:color w:val="19181D"/>
        <w:sz w:val="16"/>
        <w:szCs w:val="16"/>
      </w:rPr>
    </w:pPr>
  </w:p>
  <w:p w14:paraId="10753054" w14:textId="77777777" w:rsidR="004E0F08" w:rsidRDefault="006018EC">
    <w:pPr>
      <w:ind w:left="117"/>
      <w:rPr>
        <w:color w:val="000000"/>
      </w:rPr>
    </w:pPr>
    <w:r>
      <w:rPr>
        <w:noProof/>
        <w:color w:val="19181D"/>
        <w:sz w:val="16"/>
        <w:szCs w:val="16"/>
        <w:lang w:val="es-PE"/>
      </w:rPr>
      <w:drawing>
        <wp:anchor distT="0" distB="0" distL="0" distR="0" simplePos="0" relativeHeight="251660288" behindDoc="1" locked="0" layoutInCell="1" allowOverlap="1" wp14:anchorId="47BB9D6F" wp14:editId="039386F7">
          <wp:simplePos x="0" y="0"/>
          <wp:positionH relativeFrom="column">
            <wp:posOffset>5200650</wp:posOffset>
          </wp:positionH>
          <wp:positionV relativeFrom="paragraph">
            <wp:posOffset>13335</wp:posOffset>
          </wp:positionV>
          <wp:extent cx="1289685" cy="753110"/>
          <wp:effectExtent l="0" t="0" r="0" b="0"/>
          <wp:wrapNone/>
          <wp:docPr id="3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a:picLocks noChangeAspect="1" noChangeArrowheads="1"/>
                  </pic:cNvPicPr>
                </pic:nvPicPr>
                <pic:blipFill>
                  <a:blip r:embed="rId1"/>
                  <a:stretch>
                    <a:fillRect/>
                  </a:stretch>
                </pic:blipFill>
                <pic:spPr bwMode="auto">
                  <a:xfrm>
                    <a:off x="0" y="0"/>
                    <a:ext cx="1289685" cy="753110"/>
                  </a:xfrm>
                  <a:prstGeom prst="rect">
                    <a:avLst/>
                  </a:prstGeom>
                </pic:spPr>
              </pic:pic>
            </a:graphicData>
          </a:graphic>
        </wp:anchor>
      </w:drawing>
    </w:r>
    <w:r>
      <w:rPr>
        <w:color w:val="19181D"/>
        <w:sz w:val="16"/>
        <w:szCs w:val="16"/>
      </w:rPr>
      <w:t>Av. Paseo de la República 3101, San Isidro, Lima–Perú</w:t>
    </w:r>
  </w:p>
  <w:p w14:paraId="7ACBB6B1" w14:textId="77777777" w:rsidR="004E0F08" w:rsidRDefault="006018EC">
    <w:pPr>
      <w:ind w:left="117"/>
      <w:rPr>
        <w:color w:val="000000"/>
      </w:rPr>
    </w:pPr>
    <w:r>
      <w:rPr>
        <w:color w:val="000000"/>
        <w:sz w:val="16"/>
        <w:szCs w:val="16"/>
      </w:rPr>
      <w:t>Central telefónica:(51-1)631 80 00. Línea gratuita101</w:t>
    </w:r>
  </w:p>
  <w:p w14:paraId="742C9CA2" w14:textId="77777777" w:rsidR="004E0F08" w:rsidRDefault="006018EC">
    <w:pPr>
      <w:ind w:left="117"/>
      <w:rPr>
        <w:color w:val="000000"/>
      </w:rPr>
    </w:pPr>
    <w:hyperlink r:id="rId2">
      <w:r>
        <w:rPr>
          <w:b/>
          <w:color w:val="E2101A"/>
          <w:sz w:val="16"/>
          <w:szCs w:val="16"/>
        </w:rPr>
        <w:t>www.gob.pe/midis</w:t>
      </w:r>
    </w:hyperlink>
  </w:p>
  <w:p w14:paraId="6E81E843" w14:textId="77777777" w:rsidR="004E0F08" w:rsidRDefault="004E0F08">
    <w:pPr>
      <w:ind w:left="117"/>
      <w:rPr>
        <w:b/>
        <w:color w:val="000000"/>
        <w:sz w:val="16"/>
        <w:szCs w:val="16"/>
      </w:rPr>
    </w:pPr>
  </w:p>
  <w:p w14:paraId="08B84476" w14:textId="77777777" w:rsidR="004E0F08" w:rsidRDefault="006018EC">
    <w:pPr>
      <w:spacing w:before="9"/>
      <w:ind w:left="118"/>
      <w:rPr>
        <w:color w:val="000000"/>
      </w:rPr>
    </w:pPr>
    <w:r>
      <w:rPr>
        <w:i/>
        <w:color w:val="000000"/>
        <w:sz w:val="16"/>
        <w:szCs w:val="16"/>
      </w:rPr>
      <w:t>“Ética en acción, corrupción sin opción”</w:t>
    </w:r>
  </w:p>
  <w:p w14:paraId="2027088F" w14:textId="77777777" w:rsidR="004E0F08" w:rsidRDefault="006018EC">
    <w:pPr>
      <w:spacing w:before="9"/>
      <w:ind w:left="118"/>
      <w:rPr>
        <w:color w:val="000000"/>
      </w:rPr>
    </w:pPr>
    <w:r>
      <w:rPr>
        <w:i/>
        <w:color w:val="19181D"/>
        <w:sz w:val="16"/>
        <w:szCs w:val="16"/>
      </w:rPr>
      <w:t>CertificadosconISO9001:2015</w:t>
    </w:r>
  </w:p>
  <w:p w14:paraId="14801771" w14:textId="77777777" w:rsidR="004E0F08" w:rsidRDefault="004E0F08">
    <w:pPr>
      <w:spacing w:before="9"/>
      <w:ind w:left="118"/>
      <w:jc w:val="center"/>
      <w:rPr>
        <w:i/>
        <w:color w:val="000000"/>
        <w:sz w:val="16"/>
        <w:szCs w:val="16"/>
      </w:rPr>
    </w:pPr>
  </w:p>
  <w:p w14:paraId="110FF417" w14:textId="77777777" w:rsidR="004E0F08" w:rsidRDefault="004E0F08">
    <w:pPr>
      <w:tabs>
        <w:tab w:val="center" w:pos="4252"/>
        <w:tab w:val="right" w:pos="8504"/>
      </w:tabs>
      <w:rPr>
        <w:color w:val="000000"/>
      </w:rPr>
    </w:pPr>
  </w:p>
  <w:p w14:paraId="2C13C603" w14:textId="77777777" w:rsidR="004E0F08" w:rsidRDefault="004E0F08">
    <w:pP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2FA95" w14:textId="77777777" w:rsidR="00FF3E42" w:rsidRDefault="00FF3E42">
      <w:r>
        <w:separator/>
      </w:r>
    </w:p>
  </w:footnote>
  <w:footnote w:type="continuationSeparator" w:id="0">
    <w:p w14:paraId="00199EB7" w14:textId="77777777" w:rsidR="00FF3E42" w:rsidRDefault="00FF3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E677" w14:textId="77777777" w:rsidR="004E0F08" w:rsidRDefault="006018EC" w:rsidP="0097758E">
    <w:pPr>
      <w:tabs>
        <w:tab w:val="left" w:pos="1693"/>
      </w:tabs>
      <w:ind w:left="1701" w:hanging="1134"/>
      <w:rPr>
        <w:color w:val="7B7B7B"/>
        <w:sz w:val="18"/>
        <w:szCs w:val="18"/>
      </w:rPr>
    </w:pPr>
    <w:r>
      <w:rPr>
        <w:color w:val="000000"/>
        <w:sz w:val="18"/>
        <w:szCs w:val="18"/>
      </w:rPr>
      <w:t xml:space="preserve">          </w:t>
    </w:r>
    <w:r>
      <w:rPr>
        <w:noProof/>
        <w:color w:val="000000"/>
        <w:sz w:val="18"/>
        <w:szCs w:val="18"/>
        <w:lang w:val="es-PE"/>
      </w:rPr>
      <w:drawing>
        <wp:anchor distT="0" distB="0" distL="0" distR="114300" simplePos="0" relativeHeight="251661312" behindDoc="1" locked="0" layoutInCell="0" allowOverlap="1" wp14:anchorId="56999A6B" wp14:editId="5DC5E0C6">
          <wp:simplePos x="0" y="0"/>
          <wp:positionH relativeFrom="column">
            <wp:posOffset>0</wp:posOffset>
          </wp:positionH>
          <wp:positionV relativeFrom="paragraph">
            <wp:posOffset>-99695</wp:posOffset>
          </wp:positionV>
          <wp:extent cx="1798320" cy="369570"/>
          <wp:effectExtent l="0" t="0" r="0" b="0"/>
          <wp:wrapSquare wrapText="bothSides"/>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1"/>
                  <a:stretch>
                    <a:fillRect/>
                  </a:stretch>
                </pic:blipFill>
                <pic:spPr bwMode="auto">
                  <a:xfrm>
                    <a:off x="0" y="0"/>
                    <a:ext cx="1798320" cy="369570"/>
                  </a:xfrm>
                  <a:prstGeom prst="rect">
                    <a:avLst/>
                  </a:prstGeom>
                </pic:spPr>
              </pic:pic>
            </a:graphicData>
          </a:graphic>
        </wp:anchor>
      </w:drawing>
    </w:r>
    <w:r>
      <w:rPr>
        <w:color w:val="000000"/>
        <w:sz w:val="18"/>
        <w:szCs w:val="18"/>
      </w:rPr>
      <w:t>Año de la recuperación y consolidación de la economía peruana</w:t>
    </w:r>
  </w:p>
  <w:p w14:paraId="019F5CC5" w14:textId="77777777" w:rsidR="004E0F08" w:rsidRDefault="004E0F08">
    <w:pP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397B" w14:textId="77777777" w:rsidR="004E0F08" w:rsidRDefault="006018EC">
    <w:pPr>
      <w:tabs>
        <w:tab w:val="left" w:pos="1693"/>
      </w:tabs>
      <w:ind w:left="1701" w:right="1020" w:hanging="1134"/>
      <w:jc w:val="right"/>
      <w:rPr>
        <w:color w:val="7B7B7B"/>
        <w:sz w:val="18"/>
        <w:szCs w:val="18"/>
      </w:rPr>
    </w:pPr>
    <w:r>
      <w:rPr>
        <w:color w:val="000000"/>
        <w:sz w:val="18"/>
        <w:szCs w:val="18"/>
      </w:rPr>
      <w:t xml:space="preserve">                      </w:t>
    </w:r>
    <w:r>
      <w:rPr>
        <w:noProof/>
        <w:color w:val="000000"/>
        <w:sz w:val="18"/>
        <w:szCs w:val="18"/>
        <w:lang w:val="es-PE"/>
      </w:rPr>
      <w:drawing>
        <wp:anchor distT="0" distB="0" distL="0" distR="114300" simplePos="0" relativeHeight="251662336" behindDoc="1" locked="0" layoutInCell="0" allowOverlap="1" wp14:anchorId="263903CD" wp14:editId="7453A3B0">
          <wp:simplePos x="0" y="0"/>
          <wp:positionH relativeFrom="column">
            <wp:posOffset>0</wp:posOffset>
          </wp:positionH>
          <wp:positionV relativeFrom="paragraph">
            <wp:posOffset>-99695</wp:posOffset>
          </wp:positionV>
          <wp:extent cx="1798320" cy="369570"/>
          <wp:effectExtent l="0" t="0" r="0" b="0"/>
          <wp:wrapSquare wrapText="bothSides"/>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noChangeArrowheads="1"/>
                  </pic:cNvPicPr>
                </pic:nvPicPr>
                <pic:blipFill>
                  <a:blip r:embed="rId1"/>
                  <a:stretch>
                    <a:fillRect/>
                  </a:stretch>
                </pic:blipFill>
                <pic:spPr bwMode="auto">
                  <a:xfrm>
                    <a:off x="0" y="0"/>
                    <a:ext cx="1798320" cy="369570"/>
                  </a:xfrm>
                  <a:prstGeom prst="rect">
                    <a:avLst/>
                  </a:prstGeom>
                </pic:spPr>
              </pic:pic>
            </a:graphicData>
          </a:graphic>
        </wp:anchor>
      </w:drawing>
    </w:r>
    <w:r>
      <w:rPr>
        <w:color w:val="000000"/>
        <w:sz w:val="18"/>
        <w:szCs w:val="18"/>
      </w:rPr>
      <w:t>Año de la recuperación y consolidación de la economía peruana</w:t>
    </w:r>
  </w:p>
  <w:p w14:paraId="37E81B7F" w14:textId="77777777" w:rsidR="004E0F08" w:rsidRDefault="004E0F08">
    <w:pP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1A66"/>
    <w:multiLevelType w:val="hybridMultilevel"/>
    <w:tmpl w:val="DC58C9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4EE791D"/>
    <w:multiLevelType w:val="hybridMultilevel"/>
    <w:tmpl w:val="BE2E631E"/>
    <w:lvl w:ilvl="0" w:tplc="9E7C987A">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A3977A3"/>
    <w:multiLevelType w:val="hybridMultilevel"/>
    <w:tmpl w:val="F04673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3C22FD3"/>
    <w:multiLevelType w:val="hybridMultilevel"/>
    <w:tmpl w:val="C1B82AE8"/>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519C13D5"/>
    <w:multiLevelType w:val="hybridMultilevel"/>
    <w:tmpl w:val="123E1D9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56357F61"/>
    <w:multiLevelType w:val="hybridMultilevel"/>
    <w:tmpl w:val="C7743D62"/>
    <w:lvl w:ilvl="0" w:tplc="5B60ED2E">
      <w:start w:val="71"/>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E4D021E"/>
    <w:multiLevelType w:val="hybridMultilevel"/>
    <w:tmpl w:val="A8CAC76C"/>
    <w:lvl w:ilvl="0" w:tplc="95100B88">
      <w:start w:val="179"/>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7C5344F"/>
    <w:multiLevelType w:val="hybridMultilevel"/>
    <w:tmpl w:val="AC8E6460"/>
    <w:lvl w:ilvl="0" w:tplc="07826424">
      <w:start w:val="19"/>
      <w:numFmt w:val="bullet"/>
      <w:lvlText w:val=""/>
      <w:lvlJc w:val="left"/>
      <w:pPr>
        <w:ind w:left="720" w:hanging="360"/>
      </w:pPr>
      <w:rPr>
        <w:rFonts w:ascii="Symbol" w:eastAsia="Arial"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8A008C1"/>
    <w:multiLevelType w:val="hybridMultilevel"/>
    <w:tmpl w:val="FD7E672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7DBE2827"/>
    <w:multiLevelType w:val="hybridMultilevel"/>
    <w:tmpl w:val="A29CD7F2"/>
    <w:lvl w:ilvl="0" w:tplc="63727546">
      <w:start w:val="3"/>
      <w:numFmt w:val="bullet"/>
      <w:lvlText w:val=""/>
      <w:lvlJc w:val="left"/>
      <w:pPr>
        <w:ind w:left="720" w:hanging="360"/>
      </w:pPr>
      <w:rPr>
        <w:rFonts w:ascii="Symbol" w:eastAsia="Arial"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480654217">
    <w:abstractNumId w:val="7"/>
  </w:num>
  <w:num w:numId="2" w16cid:durableId="142934632">
    <w:abstractNumId w:val="0"/>
  </w:num>
  <w:num w:numId="3" w16cid:durableId="368535710">
    <w:abstractNumId w:val="6"/>
  </w:num>
  <w:num w:numId="4" w16cid:durableId="1951929238">
    <w:abstractNumId w:val="2"/>
  </w:num>
  <w:num w:numId="5" w16cid:durableId="732235639">
    <w:abstractNumId w:val="3"/>
  </w:num>
  <w:num w:numId="6" w16cid:durableId="1836526890">
    <w:abstractNumId w:val="1"/>
  </w:num>
  <w:num w:numId="7" w16cid:durableId="1871455502">
    <w:abstractNumId w:val="9"/>
  </w:num>
  <w:num w:numId="8" w16cid:durableId="27727637">
    <w:abstractNumId w:val="8"/>
  </w:num>
  <w:num w:numId="9" w16cid:durableId="1295675289">
    <w:abstractNumId w:val="5"/>
  </w:num>
  <w:num w:numId="10" w16cid:durableId="1927152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1EB"/>
    <w:rsid w:val="000041E7"/>
    <w:rsid w:val="00004C1C"/>
    <w:rsid w:val="00022C14"/>
    <w:rsid w:val="0002304A"/>
    <w:rsid w:val="000235C4"/>
    <w:rsid w:val="000242B7"/>
    <w:rsid w:val="00033D7E"/>
    <w:rsid w:val="00033EC4"/>
    <w:rsid w:val="000433AC"/>
    <w:rsid w:val="000450D8"/>
    <w:rsid w:val="0006560C"/>
    <w:rsid w:val="00071A30"/>
    <w:rsid w:val="0009027D"/>
    <w:rsid w:val="000A0477"/>
    <w:rsid w:val="000A26A1"/>
    <w:rsid w:val="000B3EA9"/>
    <w:rsid w:val="000B6D3E"/>
    <w:rsid w:val="000F4E72"/>
    <w:rsid w:val="000F534C"/>
    <w:rsid w:val="000F5FB3"/>
    <w:rsid w:val="000F6566"/>
    <w:rsid w:val="00102E99"/>
    <w:rsid w:val="001239A1"/>
    <w:rsid w:val="00125FC0"/>
    <w:rsid w:val="00151F12"/>
    <w:rsid w:val="0015522A"/>
    <w:rsid w:val="00160651"/>
    <w:rsid w:val="001633A8"/>
    <w:rsid w:val="00165F67"/>
    <w:rsid w:val="00172FBF"/>
    <w:rsid w:val="00184BF6"/>
    <w:rsid w:val="001A1770"/>
    <w:rsid w:val="001B3B77"/>
    <w:rsid w:val="001B6FC9"/>
    <w:rsid w:val="001D682E"/>
    <w:rsid w:val="001D6A1A"/>
    <w:rsid w:val="001E4691"/>
    <w:rsid w:val="001E6F47"/>
    <w:rsid w:val="001F1E4C"/>
    <w:rsid w:val="00202E38"/>
    <w:rsid w:val="002560F4"/>
    <w:rsid w:val="00257E74"/>
    <w:rsid w:val="00272FF5"/>
    <w:rsid w:val="002823E5"/>
    <w:rsid w:val="0028260F"/>
    <w:rsid w:val="00293663"/>
    <w:rsid w:val="002940D6"/>
    <w:rsid w:val="002B15A9"/>
    <w:rsid w:val="002C470E"/>
    <w:rsid w:val="002C74E1"/>
    <w:rsid w:val="002D2341"/>
    <w:rsid w:val="002E292C"/>
    <w:rsid w:val="002F0F97"/>
    <w:rsid w:val="002F23F7"/>
    <w:rsid w:val="002F36B6"/>
    <w:rsid w:val="002F36D3"/>
    <w:rsid w:val="003133CF"/>
    <w:rsid w:val="00343D68"/>
    <w:rsid w:val="0036120D"/>
    <w:rsid w:val="00365479"/>
    <w:rsid w:val="00374C09"/>
    <w:rsid w:val="00380AE5"/>
    <w:rsid w:val="00383E22"/>
    <w:rsid w:val="0038493C"/>
    <w:rsid w:val="003872E2"/>
    <w:rsid w:val="0039120A"/>
    <w:rsid w:val="003921BF"/>
    <w:rsid w:val="0039226D"/>
    <w:rsid w:val="003A026C"/>
    <w:rsid w:val="003A0450"/>
    <w:rsid w:val="003A2FFA"/>
    <w:rsid w:val="003A69EE"/>
    <w:rsid w:val="003B550C"/>
    <w:rsid w:val="003E244D"/>
    <w:rsid w:val="0045711B"/>
    <w:rsid w:val="00462052"/>
    <w:rsid w:val="00462373"/>
    <w:rsid w:val="00465782"/>
    <w:rsid w:val="0047424C"/>
    <w:rsid w:val="00477F4F"/>
    <w:rsid w:val="004A5573"/>
    <w:rsid w:val="004C62F8"/>
    <w:rsid w:val="004E0F08"/>
    <w:rsid w:val="00506809"/>
    <w:rsid w:val="00525E6E"/>
    <w:rsid w:val="00526280"/>
    <w:rsid w:val="00532AC8"/>
    <w:rsid w:val="00533067"/>
    <w:rsid w:val="00533530"/>
    <w:rsid w:val="00533D42"/>
    <w:rsid w:val="00534A12"/>
    <w:rsid w:val="00537510"/>
    <w:rsid w:val="00543D3D"/>
    <w:rsid w:val="00552DBD"/>
    <w:rsid w:val="005555A3"/>
    <w:rsid w:val="00556131"/>
    <w:rsid w:val="00556584"/>
    <w:rsid w:val="005709C1"/>
    <w:rsid w:val="00575AEF"/>
    <w:rsid w:val="005817AB"/>
    <w:rsid w:val="005937D8"/>
    <w:rsid w:val="0059450D"/>
    <w:rsid w:val="00595A4D"/>
    <w:rsid w:val="005B3B29"/>
    <w:rsid w:val="005C59FC"/>
    <w:rsid w:val="00600431"/>
    <w:rsid w:val="006018EC"/>
    <w:rsid w:val="00620089"/>
    <w:rsid w:val="006247AE"/>
    <w:rsid w:val="00630435"/>
    <w:rsid w:val="006345F6"/>
    <w:rsid w:val="006466FE"/>
    <w:rsid w:val="006467F9"/>
    <w:rsid w:val="00660DD2"/>
    <w:rsid w:val="00694F8E"/>
    <w:rsid w:val="006A5C36"/>
    <w:rsid w:val="006B42C1"/>
    <w:rsid w:val="006D356D"/>
    <w:rsid w:val="006D5356"/>
    <w:rsid w:val="006E5E55"/>
    <w:rsid w:val="007025BE"/>
    <w:rsid w:val="00713040"/>
    <w:rsid w:val="007377EF"/>
    <w:rsid w:val="00751A68"/>
    <w:rsid w:val="00762E1F"/>
    <w:rsid w:val="00764D00"/>
    <w:rsid w:val="0079265C"/>
    <w:rsid w:val="00792BB9"/>
    <w:rsid w:val="00796C03"/>
    <w:rsid w:val="00796F83"/>
    <w:rsid w:val="007A1D91"/>
    <w:rsid w:val="007A7BCF"/>
    <w:rsid w:val="007C2A3D"/>
    <w:rsid w:val="007C60AD"/>
    <w:rsid w:val="00806382"/>
    <w:rsid w:val="00846762"/>
    <w:rsid w:val="00860107"/>
    <w:rsid w:val="00871622"/>
    <w:rsid w:val="0088402F"/>
    <w:rsid w:val="008A1EAD"/>
    <w:rsid w:val="008C779F"/>
    <w:rsid w:val="008D29F0"/>
    <w:rsid w:val="008D7E7C"/>
    <w:rsid w:val="00911E26"/>
    <w:rsid w:val="00924D66"/>
    <w:rsid w:val="00932A8D"/>
    <w:rsid w:val="00933F8B"/>
    <w:rsid w:val="009409D2"/>
    <w:rsid w:val="00944F80"/>
    <w:rsid w:val="009463D1"/>
    <w:rsid w:val="00946D6E"/>
    <w:rsid w:val="00952FC7"/>
    <w:rsid w:val="009551FD"/>
    <w:rsid w:val="00960AA6"/>
    <w:rsid w:val="00985F65"/>
    <w:rsid w:val="009D19CC"/>
    <w:rsid w:val="009D7F00"/>
    <w:rsid w:val="009E3A95"/>
    <w:rsid w:val="009E3E48"/>
    <w:rsid w:val="009F5641"/>
    <w:rsid w:val="00A23688"/>
    <w:rsid w:val="00A306F6"/>
    <w:rsid w:val="00A341BB"/>
    <w:rsid w:val="00A42763"/>
    <w:rsid w:val="00A43134"/>
    <w:rsid w:val="00A465FF"/>
    <w:rsid w:val="00A509F4"/>
    <w:rsid w:val="00A50F45"/>
    <w:rsid w:val="00A53F41"/>
    <w:rsid w:val="00A61508"/>
    <w:rsid w:val="00A80172"/>
    <w:rsid w:val="00A86E9F"/>
    <w:rsid w:val="00AA3B59"/>
    <w:rsid w:val="00AB1F38"/>
    <w:rsid w:val="00AD000D"/>
    <w:rsid w:val="00B129F9"/>
    <w:rsid w:val="00B14F02"/>
    <w:rsid w:val="00B15DB2"/>
    <w:rsid w:val="00B328B6"/>
    <w:rsid w:val="00B456BB"/>
    <w:rsid w:val="00B45EB4"/>
    <w:rsid w:val="00B62A3C"/>
    <w:rsid w:val="00B645A3"/>
    <w:rsid w:val="00B66B00"/>
    <w:rsid w:val="00B670AA"/>
    <w:rsid w:val="00B87DA4"/>
    <w:rsid w:val="00B96A8A"/>
    <w:rsid w:val="00BC367E"/>
    <w:rsid w:val="00C04D95"/>
    <w:rsid w:val="00C17FAD"/>
    <w:rsid w:val="00C2226E"/>
    <w:rsid w:val="00C34D83"/>
    <w:rsid w:val="00C44EAB"/>
    <w:rsid w:val="00C535F3"/>
    <w:rsid w:val="00C571EB"/>
    <w:rsid w:val="00C604CA"/>
    <w:rsid w:val="00C628FB"/>
    <w:rsid w:val="00C63B6B"/>
    <w:rsid w:val="00C85CD5"/>
    <w:rsid w:val="00CB2A43"/>
    <w:rsid w:val="00CC7FC3"/>
    <w:rsid w:val="00CE37AD"/>
    <w:rsid w:val="00CF14D6"/>
    <w:rsid w:val="00D06D47"/>
    <w:rsid w:val="00D07C29"/>
    <w:rsid w:val="00D13F09"/>
    <w:rsid w:val="00D161A9"/>
    <w:rsid w:val="00D27659"/>
    <w:rsid w:val="00D6447A"/>
    <w:rsid w:val="00D82AB4"/>
    <w:rsid w:val="00D9377F"/>
    <w:rsid w:val="00D94914"/>
    <w:rsid w:val="00D9538F"/>
    <w:rsid w:val="00DA112F"/>
    <w:rsid w:val="00DC7F7A"/>
    <w:rsid w:val="00DD2706"/>
    <w:rsid w:val="00DE3B94"/>
    <w:rsid w:val="00DE752E"/>
    <w:rsid w:val="00E11E4C"/>
    <w:rsid w:val="00E2012B"/>
    <w:rsid w:val="00E26C07"/>
    <w:rsid w:val="00E408CE"/>
    <w:rsid w:val="00E43AA2"/>
    <w:rsid w:val="00E46EFA"/>
    <w:rsid w:val="00E577EE"/>
    <w:rsid w:val="00E60BFA"/>
    <w:rsid w:val="00E91624"/>
    <w:rsid w:val="00E93B18"/>
    <w:rsid w:val="00EC70F4"/>
    <w:rsid w:val="00EE05C0"/>
    <w:rsid w:val="00EF6EC7"/>
    <w:rsid w:val="00F151CA"/>
    <w:rsid w:val="00F50B41"/>
    <w:rsid w:val="00F54646"/>
    <w:rsid w:val="00F7011E"/>
    <w:rsid w:val="00F809EF"/>
    <w:rsid w:val="00F82B74"/>
    <w:rsid w:val="00F83750"/>
    <w:rsid w:val="00F83CF8"/>
    <w:rsid w:val="00F97036"/>
    <w:rsid w:val="00FA3A07"/>
    <w:rsid w:val="00FB0F09"/>
    <w:rsid w:val="00FB4B48"/>
    <w:rsid w:val="00FC1738"/>
    <w:rsid w:val="00FD2F3C"/>
    <w:rsid w:val="00FD3D7F"/>
    <w:rsid w:val="00FD6917"/>
    <w:rsid w:val="00FD7309"/>
    <w:rsid w:val="00FF1DBF"/>
    <w:rsid w:val="00FF3E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80A3B"/>
  <w15:chartTrackingRefBased/>
  <w15:docId w15:val="{2ECDA488-8B2C-43F0-8B29-060CC706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1EB"/>
    <w:pPr>
      <w:widowControl w:val="0"/>
      <w:suppressAutoHyphens/>
      <w:spacing w:after="0" w:line="240" w:lineRule="auto"/>
    </w:pPr>
    <w:rPr>
      <w:rFonts w:ascii="Arial" w:eastAsia="Arial" w:hAnsi="Arial" w:cs="Arial"/>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C571EB"/>
    <w:rPr>
      <w:color w:val="000080"/>
      <w:u w:val="single"/>
    </w:rPr>
  </w:style>
  <w:style w:type="paragraph" w:styleId="Prrafodelista">
    <w:name w:val="List Paragraph"/>
    <w:basedOn w:val="Normal"/>
    <w:uiPriority w:val="34"/>
    <w:qFormat/>
    <w:rsid w:val="00C571EB"/>
    <w:pPr>
      <w:ind w:left="720"/>
      <w:contextualSpacing/>
    </w:pPr>
  </w:style>
  <w:style w:type="paragraph" w:styleId="Sinespaciado">
    <w:name w:val="No Spacing"/>
    <w:uiPriority w:val="1"/>
    <w:qFormat/>
    <w:rsid w:val="00C571EB"/>
    <w:pPr>
      <w:widowControl w:val="0"/>
      <w:suppressAutoHyphens/>
      <w:spacing w:after="0" w:line="240" w:lineRule="auto"/>
    </w:pPr>
    <w:rPr>
      <w:rFonts w:ascii="Arial" w:eastAsia="Arial" w:hAnsi="Arial" w:cs="Arial"/>
      <w:lang w:eastAsia="es-PE"/>
    </w:rPr>
  </w:style>
  <w:style w:type="paragraph" w:styleId="Encabezado">
    <w:name w:val="header"/>
    <w:basedOn w:val="Normal"/>
    <w:link w:val="EncabezadoCar"/>
    <w:uiPriority w:val="99"/>
    <w:unhideWhenUsed/>
    <w:rsid w:val="00D13F09"/>
    <w:pPr>
      <w:tabs>
        <w:tab w:val="center" w:pos="4252"/>
        <w:tab w:val="right" w:pos="8504"/>
      </w:tabs>
    </w:pPr>
  </w:style>
  <w:style w:type="character" w:customStyle="1" w:styleId="EncabezadoCar">
    <w:name w:val="Encabezado Car"/>
    <w:basedOn w:val="Fuentedeprrafopredeter"/>
    <w:link w:val="Encabezado"/>
    <w:uiPriority w:val="99"/>
    <w:rsid w:val="00D13F09"/>
    <w:rPr>
      <w:rFonts w:ascii="Arial" w:eastAsia="Arial" w:hAnsi="Arial" w:cs="Arial"/>
      <w:lang w:eastAsia="es-PE"/>
    </w:rPr>
  </w:style>
  <w:style w:type="paragraph" w:styleId="Piedepgina">
    <w:name w:val="footer"/>
    <w:basedOn w:val="Normal"/>
    <w:link w:val="PiedepginaCar"/>
    <w:uiPriority w:val="99"/>
    <w:unhideWhenUsed/>
    <w:rsid w:val="00D13F09"/>
    <w:pPr>
      <w:tabs>
        <w:tab w:val="center" w:pos="4252"/>
        <w:tab w:val="right" w:pos="8504"/>
      </w:tabs>
    </w:pPr>
  </w:style>
  <w:style w:type="character" w:customStyle="1" w:styleId="PiedepginaCar">
    <w:name w:val="Pie de página Car"/>
    <w:basedOn w:val="Fuentedeprrafopredeter"/>
    <w:link w:val="Piedepgina"/>
    <w:uiPriority w:val="99"/>
    <w:rsid w:val="00D13F09"/>
    <w:rPr>
      <w:rFonts w:ascii="Arial" w:eastAsia="Arial" w:hAnsi="Arial" w:cs="Arial"/>
      <w:lang w:eastAsia="es-PE"/>
    </w:rPr>
  </w:style>
  <w:style w:type="paragraph" w:styleId="Textodeglobo">
    <w:name w:val="Balloon Text"/>
    <w:basedOn w:val="Normal"/>
    <w:link w:val="TextodegloboCar"/>
    <w:uiPriority w:val="99"/>
    <w:semiHidden/>
    <w:unhideWhenUsed/>
    <w:rsid w:val="00022C1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2C14"/>
    <w:rPr>
      <w:rFonts w:ascii="Segoe UI" w:eastAsia="Arial" w:hAnsi="Segoe UI" w:cs="Segoe UI"/>
      <w:sz w:val="18"/>
      <w:szCs w:val="18"/>
      <w:lang w:eastAsia="es-PE"/>
    </w:rPr>
  </w:style>
  <w:style w:type="character" w:styleId="Mencinsinresolver">
    <w:name w:val="Unresolved Mention"/>
    <w:basedOn w:val="Fuentedeprrafopredeter"/>
    <w:uiPriority w:val="99"/>
    <w:semiHidden/>
    <w:unhideWhenUsed/>
    <w:rsid w:val="00796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ndgb.com/pdsqcOxBTA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ob.pe/midi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gob.pe/midis"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2987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Martin Bodero Caceres</dc:creator>
  <cp:keywords/>
  <dc:description/>
  <cp:lastModifiedBy>Carolina Caycho</cp:lastModifiedBy>
  <cp:revision>2</cp:revision>
  <cp:lastPrinted>2025-10-13T16:21:00Z</cp:lastPrinted>
  <dcterms:created xsi:type="dcterms:W3CDTF">2025-10-16T18:03:00Z</dcterms:created>
  <dcterms:modified xsi:type="dcterms:W3CDTF">2025-10-16T18:03:00Z</dcterms:modified>
</cp:coreProperties>
</file>