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D150" w14:textId="77777777" w:rsidR="005D1BBB" w:rsidRPr="005D1BBB" w:rsidRDefault="005D1BBB" w:rsidP="005D1BBB">
      <w:pPr>
        <w:jc w:val="center"/>
        <w:rPr>
          <w:b/>
          <w:bCs/>
          <w:u w:val="single"/>
        </w:rPr>
      </w:pPr>
      <w:r w:rsidRPr="005D1BBB">
        <w:rPr>
          <w:b/>
          <w:bCs/>
          <w:u w:val="single"/>
        </w:rPr>
        <w:t>NOTA DE PRENSA</w:t>
      </w:r>
    </w:p>
    <w:p w14:paraId="202DC70D" w14:textId="77777777" w:rsidR="005D1BBB" w:rsidRPr="005D1BBB" w:rsidRDefault="005D1BBB" w:rsidP="005D1BBB">
      <w:pPr>
        <w:jc w:val="center"/>
        <w:rPr>
          <w:b/>
          <w:bCs/>
        </w:rPr>
      </w:pPr>
    </w:p>
    <w:p w14:paraId="173A0129" w14:textId="77777777" w:rsidR="005D1BBB" w:rsidRPr="005D1BBB" w:rsidRDefault="005D1BBB" w:rsidP="005D1BBB">
      <w:pPr>
        <w:jc w:val="center"/>
        <w:rPr>
          <w:b/>
          <w:bCs/>
        </w:rPr>
      </w:pPr>
      <w:r w:rsidRPr="005D1BBB">
        <w:rPr>
          <w:b/>
          <w:bCs/>
        </w:rPr>
        <w:t>Se prepublicó el reglamento de sanciones de Sanipes que fortalece cumplimiento de normas que garantizan la inocuidad de productos hidrobiológicos</w:t>
      </w:r>
    </w:p>
    <w:p w14:paraId="274B47A8" w14:textId="77777777" w:rsidR="005D1BBB" w:rsidRDefault="005D1BBB" w:rsidP="005D1BBB"/>
    <w:p w14:paraId="0E08AFA2" w14:textId="52F5B5F1" w:rsidR="005D1BBB" w:rsidRPr="005D1BBB" w:rsidRDefault="005D1BBB" w:rsidP="005D1BBB">
      <w:pPr>
        <w:jc w:val="center"/>
        <w:rPr>
          <w:i/>
          <w:iCs/>
        </w:rPr>
      </w:pPr>
      <w:r w:rsidRPr="005D1BBB">
        <w:rPr>
          <w:i/>
          <w:iCs/>
        </w:rPr>
        <w:t>Mejoras permitirán aplicar sanciones más proporcionales y razonables. Operadores pesqueros y acuícolas tendrán 30 días para enviar comentarios sobre el reglamento.</w:t>
      </w:r>
    </w:p>
    <w:p w14:paraId="7E4684C8" w14:textId="77777777" w:rsidR="005D1BBB" w:rsidRDefault="005D1BBB" w:rsidP="005D1BBB"/>
    <w:p w14:paraId="7260EFEE" w14:textId="55405A32" w:rsidR="005D1BBB" w:rsidRDefault="005D1BBB" w:rsidP="00C31E08">
      <w:pPr>
        <w:jc w:val="both"/>
      </w:pPr>
      <w:r>
        <w:t xml:space="preserve">Mediante la Resolución Ministerial N°000009-2026-PRODUCE, el Ministerio de la Producción (PRODUCE) prepublicó el nuevo Reglamento de Infracciones y Sanciones Sanitarias de las Actividades Pesqueras y Acuícolas de la Autoridad Nacional de Sanidad e Inocuidad en Pesca y Acuicultura (Sanipes), con la finalidad de fortalecer el régimen sancionador y promover el cumplimiento de las normas que protegen la sanidad e inocuidad de los recursos y productos de toda la cadena de valor de la pesca y acuicultura en beneficio de los consumidores. </w:t>
      </w:r>
    </w:p>
    <w:p w14:paraId="0BE1604B" w14:textId="77777777" w:rsidR="005D1BBB" w:rsidRDefault="005D1BBB" w:rsidP="00C31E08">
      <w:pPr>
        <w:jc w:val="both"/>
      </w:pPr>
    </w:p>
    <w:p w14:paraId="6037E733" w14:textId="77777777" w:rsidR="005D1BBB" w:rsidRDefault="005D1BBB" w:rsidP="00C31E08">
      <w:pPr>
        <w:jc w:val="both"/>
      </w:pPr>
      <w:r>
        <w:t>“Con este reglamento buscamos un sistema sancionador más justo y eficiente, que proteja la salud pública sin afectar innecesariamente la sostenibilidad de las actividades productivas”, señaló el ministro de la Producción, César Quispe.</w:t>
      </w:r>
    </w:p>
    <w:p w14:paraId="5BAD7414" w14:textId="77777777" w:rsidR="005D1BBB" w:rsidRDefault="005D1BBB" w:rsidP="005D1BBB"/>
    <w:p w14:paraId="284B1A54" w14:textId="77777777" w:rsidR="005D1BBB" w:rsidRPr="005D1BBB" w:rsidRDefault="005D1BBB" w:rsidP="005D1BBB">
      <w:pPr>
        <w:rPr>
          <w:b/>
          <w:bCs/>
        </w:rPr>
      </w:pPr>
      <w:r w:rsidRPr="005D1BBB">
        <w:rPr>
          <w:b/>
          <w:bCs/>
        </w:rPr>
        <w:t>Mejoras al reglamento</w:t>
      </w:r>
    </w:p>
    <w:p w14:paraId="643DD40B" w14:textId="77777777" w:rsidR="005D1BBB" w:rsidRDefault="005D1BBB" w:rsidP="00C31E08">
      <w:pPr>
        <w:jc w:val="both"/>
      </w:pPr>
      <w:r>
        <w:t>El nuevo RISSPA incorpora beneficios importantes. Por un lado, clasifica a los infractores según su capacidad operativa y el riesgo sanitario asociado, permitiendo aplicar sanciones proporcionales.</w:t>
      </w:r>
    </w:p>
    <w:p w14:paraId="32FC876F" w14:textId="77777777" w:rsidR="005D1BBB" w:rsidRDefault="005D1BBB" w:rsidP="00C31E08">
      <w:pPr>
        <w:jc w:val="both"/>
      </w:pPr>
    </w:p>
    <w:p w14:paraId="1CE47435" w14:textId="77777777" w:rsidR="005D1BBB" w:rsidRDefault="005D1BBB" w:rsidP="00C31E08">
      <w:pPr>
        <w:jc w:val="both"/>
      </w:pPr>
      <w:r>
        <w:t>Asimismo, establece topes de multas razonables y aprueba una escala diferenciada para los pequeños acuicultores, evitando afectar la sostenibilidad de sus actividades. Por otra parte, permite el fraccionamiento de las multas impuestas y actualiza el marco sancionador conforme a las nuevas obligaciones sanitarias vigentes.</w:t>
      </w:r>
    </w:p>
    <w:p w14:paraId="034AE8A7" w14:textId="77777777" w:rsidR="005D1BBB" w:rsidRDefault="005D1BBB" w:rsidP="00C31E08">
      <w:pPr>
        <w:jc w:val="both"/>
      </w:pPr>
    </w:p>
    <w:p w14:paraId="6BCC0883" w14:textId="77777777" w:rsidR="005D1BBB" w:rsidRDefault="005D1BBB" w:rsidP="00C31E08">
      <w:pPr>
        <w:jc w:val="both"/>
      </w:pPr>
      <w:r>
        <w:t>Además, aplica criterios agravantes sectoriales, sancionando con mayor severidad cuando las infracciones generan lesión grave o muerte, afectan la salud de poblaciones de alto riesgo o comprometen el estatus sanitario del país.</w:t>
      </w:r>
    </w:p>
    <w:p w14:paraId="0D6F6C20" w14:textId="77777777" w:rsidR="005D1BBB" w:rsidRDefault="005D1BBB" w:rsidP="00C31E08">
      <w:pPr>
        <w:jc w:val="both"/>
      </w:pPr>
    </w:p>
    <w:p w14:paraId="0693CCA3" w14:textId="77777777" w:rsidR="005D1BBB" w:rsidRDefault="005D1BBB" w:rsidP="00C31E08">
      <w:pPr>
        <w:jc w:val="both"/>
      </w:pPr>
      <w:r>
        <w:t>Con estas mejoras, el reglamento pasó de un régimen sancionador uniforme para todos los agentes de la cadena de valor a un modelo diferenciado que reconoce que una mayor capacidad productiva implica un mayor riesgo sanitario. Este enfoque permite aplicar sanciones más proporcionales y razonables y, a su vez, es más severo frente a incumplimientos que generen daño a la salud pública y al estatus sanitario nacional.</w:t>
      </w:r>
    </w:p>
    <w:p w14:paraId="6F1E47DA" w14:textId="77777777" w:rsidR="005D1BBB" w:rsidRDefault="005D1BBB" w:rsidP="005D1BBB"/>
    <w:p w14:paraId="77B770B3" w14:textId="77777777" w:rsidR="005D1BBB" w:rsidRPr="005D1BBB" w:rsidRDefault="005D1BBB" w:rsidP="005D1BBB">
      <w:pPr>
        <w:rPr>
          <w:b/>
          <w:bCs/>
        </w:rPr>
      </w:pPr>
      <w:r w:rsidRPr="005D1BBB">
        <w:rPr>
          <w:b/>
          <w:bCs/>
        </w:rPr>
        <w:t>Recepción de comentarios</w:t>
      </w:r>
    </w:p>
    <w:p w14:paraId="4F82A137" w14:textId="4A988218" w:rsidR="00C31E08" w:rsidRDefault="005D1BBB" w:rsidP="00C31E08">
      <w:pPr>
        <w:jc w:val="both"/>
      </w:pPr>
      <w:r>
        <w:t>Dado que el RISSPA se encuentra en etapa de consulta, durante los siguientes 30 días calendario, a través del correo dgparpa@produce.gob.pe, se estarán recibiendo comentarios, aportes u opiniones de los operadores pesqueros y acuícolas, así como de la ciudadanía en general, con el fin de optimizar el reglamento antes de su futura publicación</w:t>
      </w:r>
      <w:r w:rsidR="00A51FCA">
        <w:t>.</w:t>
      </w:r>
    </w:p>
    <w:p w14:paraId="0F935AA3" w14:textId="11F2B89B" w:rsidR="00C31E08" w:rsidRPr="00C31E08" w:rsidRDefault="00C31E08" w:rsidP="00C31E08">
      <w:pPr>
        <w:ind w:left="1440" w:firstLine="720"/>
        <w:jc w:val="right"/>
        <w:rPr>
          <w:b/>
          <w:bCs/>
        </w:rPr>
      </w:pPr>
      <w:r w:rsidRPr="00C31E08">
        <w:rPr>
          <w:b/>
          <w:bCs/>
        </w:rPr>
        <w:t>Lima, 17 de enero de 2026</w:t>
      </w:r>
    </w:p>
    <w:sectPr w:rsidR="00C31E08" w:rsidRPr="00C31E08" w:rsidSect="00C61BD2">
      <w:headerReference w:type="default" r:id="rId7"/>
      <w:footerReference w:type="default" r:id="rId8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E74D" w14:textId="77777777" w:rsidR="005C54D5" w:rsidRDefault="005C54D5">
      <w:r>
        <w:separator/>
      </w:r>
    </w:p>
  </w:endnote>
  <w:endnote w:type="continuationSeparator" w:id="0">
    <w:p w14:paraId="25C27458" w14:textId="77777777" w:rsidR="005C54D5" w:rsidRDefault="005C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3DD3" w14:textId="77777777" w:rsidR="00B210E8" w:rsidRDefault="00C61BD2" w:rsidP="00B210E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D7064F" wp14:editId="7219C848">
          <wp:simplePos x="0" y="0"/>
          <wp:positionH relativeFrom="column">
            <wp:posOffset>5433695</wp:posOffset>
          </wp:positionH>
          <wp:positionV relativeFrom="paragraph">
            <wp:posOffset>-112</wp:posOffset>
          </wp:positionV>
          <wp:extent cx="711200" cy="360680"/>
          <wp:effectExtent l="0" t="0" r="0" b="0"/>
          <wp:wrapThrough wrapText="bothSides">
            <wp:wrapPolygon edited="0">
              <wp:start x="9257" y="0"/>
              <wp:lineTo x="0" y="761"/>
              <wp:lineTo x="0" y="20535"/>
              <wp:lineTo x="8100" y="20535"/>
              <wp:lineTo x="10414" y="20535"/>
              <wp:lineTo x="21214" y="20535"/>
              <wp:lineTo x="21214" y="761"/>
              <wp:lineTo x="11957" y="0"/>
              <wp:lineTo x="9257" y="0"/>
            </wp:wrapPolygon>
          </wp:wrapThrough>
          <wp:docPr id="11348273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27302" name="Imagen 1134827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2256C36" wp14:editId="50B54FC6">
              <wp:simplePos x="0" y="0"/>
              <wp:positionH relativeFrom="column">
                <wp:posOffset>1630045</wp:posOffset>
              </wp:positionH>
              <wp:positionV relativeFrom="paragraph">
                <wp:posOffset>-200772</wp:posOffset>
              </wp:positionV>
              <wp:extent cx="3670935" cy="582930"/>
              <wp:effectExtent l="0" t="0" r="0" b="127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103C0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2669CD5E" w14:textId="77777777" w:rsidR="006A2C87" w:rsidRPr="00C61BD2" w:rsidRDefault="006A2C87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43F86936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56C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8.35pt;margin-top:-15.8pt;width:289.05pt;height:4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" stroked="f">
              <v:path arrowok="t"/>
              <v:textbox>
                <w:txbxContent>
                  <w:p w14:paraId="4F3103C0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2669CD5E" w14:textId="77777777" w:rsidR="006A2C87" w:rsidRPr="00C61BD2" w:rsidRDefault="006A2C87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43F86936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56C237F2" wp14:editId="73E910A8">
              <wp:simplePos x="0" y="0"/>
              <wp:positionH relativeFrom="margin">
                <wp:posOffset>-212090</wp:posOffset>
              </wp:positionH>
              <wp:positionV relativeFrom="paragraph">
                <wp:posOffset>-121920</wp:posOffset>
              </wp:positionV>
              <wp:extent cx="1842135" cy="519430"/>
              <wp:effectExtent l="0" t="0" r="0" b="1270"/>
              <wp:wrapSquare wrapText="bothSides"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213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80231" w14:textId="77777777" w:rsidR="000E4635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A78E127" w14:textId="77777777" w:rsidR="00B210E8" w:rsidRPr="008C1346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pt-BR"/>
                            </w:rPr>
                          </w:pPr>
                          <w:r w:rsidRPr="008C1346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pt-BR"/>
                            </w:rPr>
                            <w:t xml:space="preserve">Av. Arequipa N° 1593, Lince </w:t>
                          </w:r>
                          <w:r w:rsidR="00B210E8" w:rsidRPr="008C1346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pt-BR"/>
                            </w:rPr>
                            <w:t>- Lima</w:t>
                          </w:r>
                        </w:p>
                        <w:p w14:paraId="7A62565A" w14:textId="77777777" w:rsidR="00B210E8" w:rsidRPr="008C1346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pt-BR"/>
                            </w:rPr>
                          </w:pPr>
                          <w:r w:rsidRPr="008C1346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pt-BR"/>
                            </w:rPr>
                            <w:t>Av. Carretera a Ventanilla km 5.2 - Callao</w:t>
                          </w:r>
                          <w:r w:rsidRPr="008C1346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pt-BR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237F2" id="_x0000_s1027" type="#_x0000_t202" style="position:absolute;margin-left:-16.7pt;margin-top:-9.6pt;width:145.05pt;height:40.9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" stroked="f">
              <v:path arrowok="t"/>
              <v:textbox>
                <w:txbxContent>
                  <w:p w14:paraId="29F80231" w14:textId="77777777" w:rsidR="000E4635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  <w:p w14:paraId="2A78E127" w14:textId="77777777" w:rsidR="00B210E8" w:rsidRPr="008C1346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pt-BR"/>
                      </w:rPr>
                    </w:pPr>
                    <w:r w:rsidRPr="008C134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pt-BR"/>
                      </w:rPr>
                      <w:t xml:space="preserve">Av. Arequipa N° 1593, Lince </w:t>
                    </w:r>
                    <w:r w:rsidR="00B210E8" w:rsidRPr="008C134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pt-BR"/>
                      </w:rPr>
                      <w:t>- Lima</w:t>
                    </w:r>
                  </w:p>
                  <w:p w14:paraId="7A62565A" w14:textId="77777777" w:rsidR="00B210E8" w:rsidRPr="008C1346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pt-BR"/>
                      </w:rPr>
                    </w:pPr>
                    <w:r w:rsidRPr="008C134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pt-BR"/>
                      </w:rPr>
                      <w:t>Av. Carretera a Ventanilla km 5.2 - Callao</w:t>
                    </w:r>
                    <w:r w:rsidRPr="008C134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pt-BR"/>
                      </w:rPr>
                      <w:br/>
                      <w:t>www.gob.pe/sanipes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AE17BE0" w14:textId="77777777" w:rsidR="00B210E8" w:rsidRDefault="00B210E8" w:rsidP="00B210E8">
    <w:pPr>
      <w:pStyle w:val="Piedepgina"/>
    </w:pPr>
  </w:p>
  <w:p w14:paraId="375A315E" w14:textId="77777777" w:rsidR="00577D9E" w:rsidRPr="00B210E8" w:rsidRDefault="00577D9E" w:rsidP="00B21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F666" w14:textId="77777777" w:rsidR="005C54D5" w:rsidRDefault="005C54D5">
      <w:r>
        <w:separator/>
      </w:r>
    </w:p>
  </w:footnote>
  <w:footnote w:type="continuationSeparator" w:id="0">
    <w:p w14:paraId="267F4EF3" w14:textId="77777777" w:rsidR="005C54D5" w:rsidRDefault="005C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3FC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9DC8553" wp14:editId="1BF3CB9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D76003" wp14:editId="4B8B3758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2DF35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E19ED6A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3B5CA6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7022DBE2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45A60B8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886575B" w14:textId="31379F71" w:rsidR="00B210E8" w:rsidRPr="00420409" w:rsidRDefault="00B210E8" w:rsidP="008C1346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14D215F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5AA0E796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00985"/>
    <w:rsid w:val="00032350"/>
    <w:rsid w:val="0004207E"/>
    <w:rsid w:val="00042DA9"/>
    <w:rsid w:val="00045B29"/>
    <w:rsid w:val="00045CF0"/>
    <w:rsid w:val="000803C2"/>
    <w:rsid w:val="00086E48"/>
    <w:rsid w:val="00090D20"/>
    <w:rsid w:val="000A043D"/>
    <w:rsid w:val="000C154E"/>
    <w:rsid w:val="000D621B"/>
    <w:rsid w:val="000E4635"/>
    <w:rsid w:val="00104E09"/>
    <w:rsid w:val="00113F33"/>
    <w:rsid w:val="0011758D"/>
    <w:rsid w:val="001246F2"/>
    <w:rsid w:val="00140764"/>
    <w:rsid w:val="00156C4F"/>
    <w:rsid w:val="0017539B"/>
    <w:rsid w:val="001A5368"/>
    <w:rsid w:val="001B091F"/>
    <w:rsid w:val="001C63E7"/>
    <w:rsid w:val="001D03F1"/>
    <w:rsid w:val="001D089A"/>
    <w:rsid w:val="001D6E6B"/>
    <w:rsid w:val="001F3148"/>
    <w:rsid w:val="0021111B"/>
    <w:rsid w:val="00221122"/>
    <w:rsid w:val="00226C63"/>
    <w:rsid w:val="002451C0"/>
    <w:rsid w:val="00253D31"/>
    <w:rsid w:val="00264AB7"/>
    <w:rsid w:val="00266EAC"/>
    <w:rsid w:val="00277F9C"/>
    <w:rsid w:val="0029042F"/>
    <w:rsid w:val="002B1743"/>
    <w:rsid w:val="002B697A"/>
    <w:rsid w:val="002B7C73"/>
    <w:rsid w:val="002C53EB"/>
    <w:rsid w:val="002D2BFE"/>
    <w:rsid w:val="002E0C51"/>
    <w:rsid w:val="002F48B5"/>
    <w:rsid w:val="003014EB"/>
    <w:rsid w:val="00306A86"/>
    <w:rsid w:val="00315F7C"/>
    <w:rsid w:val="00330774"/>
    <w:rsid w:val="00331B1D"/>
    <w:rsid w:val="00336D77"/>
    <w:rsid w:val="00350C0A"/>
    <w:rsid w:val="00351DCE"/>
    <w:rsid w:val="00367E85"/>
    <w:rsid w:val="003704CE"/>
    <w:rsid w:val="00385292"/>
    <w:rsid w:val="00392BF9"/>
    <w:rsid w:val="003E04B9"/>
    <w:rsid w:val="00411DE1"/>
    <w:rsid w:val="00420409"/>
    <w:rsid w:val="0044192B"/>
    <w:rsid w:val="00447934"/>
    <w:rsid w:val="00453DB3"/>
    <w:rsid w:val="00456A82"/>
    <w:rsid w:val="004660E0"/>
    <w:rsid w:val="00467C7D"/>
    <w:rsid w:val="0047598B"/>
    <w:rsid w:val="00477DF7"/>
    <w:rsid w:val="00486091"/>
    <w:rsid w:val="00496915"/>
    <w:rsid w:val="004A01D1"/>
    <w:rsid w:val="004A1873"/>
    <w:rsid w:val="004B472D"/>
    <w:rsid w:val="004D5040"/>
    <w:rsid w:val="00504664"/>
    <w:rsid w:val="00510E25"/>
    <w:rsid w:val="0051168E"/>
    <w:rsid w:val="005215E2"/>
    <w:rsid w:val="00543D54"/>
    <w:rsid w:val="00545A2D"/>
    <w:rsid w:val="00557B1D"/>
    <w:rsid w:val="005623C3"/>
    <w:rsid w:val="00577D9E"/>
    <w:rsid w:val="00585255"/>
    <w:rsid w:val="0058596C"/>
    <w:rsid w:val="0058756D"/>
    <w:rsid w:val="00591719"/>
    <w:rsid w:val="005B33D6"/>
    <w:rsid w:val="005C54D5"/>
    <w:rsid w:val="005C5AFC"/>
    <w:rsid w:val="005D1BBB"/>
    <w:rsid w:val="005D6C96"/>
    <w:rsid w:val="005E18F3"/>
    <w:rsid w:val="005E3A21"/>
    <w:rsid w:val="005E5C4C"/>
    <w:rsid w:val="006000F0"/>
    <w:rsid w:val="00602867"/>
    <w:rsid w:val="006166F0"/>
    <w:rsid w:val="00616D9F"/>
    <w:rsid w:val="006277D7"/>
    <w:rsid w:val="00632123"/>
    <w:rsid w:val="006414BD"/>
    <w:rsid w:val="006528E1"/>
    <w:rsid w:val="00662AA3"/>
    <w:rsid w:val="00664A45"/>
    <w:rsid w:val="006702CD"/>
    <w:rsid w:val="00693D2B"/>
    <w:rsid w:val="006A2C87"/>
    <w:rsid w:val="006C54B6"/>
    <w:rsid w:val="006C71AB"/>
    <w:rsid w:val="006D487F"/>
    <w:rsid w:val="006F40F0"/>
    <w:rsid w:val="00715809"/>
    <w:rsid w:val="0073454A"/>
    <w:rsid w:val="00750687"/>
    <w:rsid w:val="00757C31"/>
    <w:rsid w:val="00761261"/>
    <w:rsid w:val="00771A88"/>
    <w:rsid w:val="00774D79"/>
    <w:rsid w:val="00784501"/>
    <w:rsid w:val="007A2EA1"/>
    <w:rsid w:val="007B02E2"/>
    <w:rsid w:val="007C60B7"/>
    <w:rsid w:val="007D686A"/>
    <w:rsid w:val="007E57A5"/>
    <w:rsid w:val="007E6C4C"/>
    <w:rsid w:val="007E785A"/>
    <w:rsid w:val="007F1D40"/>
    <w:rsid w:val="007F72DF"/>
    <w:rsid w:val="00806510"/>
    <w:rsid w:val="0080728C"/>
    <w:rsid w:val="00810A85"/>
    <w:rsid w:val="00812709"/>
    <w:rsid w:val="00826DAD"/>
    <w:rsid w:val="008338FE"/>
    <w:rsid w:val="0085383E"/>
    <w:rsid w:val="00867608"/>
    <w:rsid w:val="00877EDA"/>
    <w:rsid w:val="00882C1C"/>
    <w:rsid w:val="00884E28"/>
    <w:rsid w:val="00886261"/>
    <w:rsid w:val="00895CB6"/>
    <w:rsid w:val="008A7044"/>
    <w:rsid w:val="008B6D11"/>
    <w:rsid w:val="008C1346"/>
    <w:rsid w:val="008C19AD"/>
    <w:rsid w:val="00900DE5"/>
    <w:rsid w:val="00906A3B"/>
    <w:rsid w:val="00906AFF"/>
    <w:rsid w:val="00926F79"/>
    <w:rsid w:val="00927736"/>
    <w:rsid w:val="00934E41"/>
    <w:rsid w:val="009633BC"/>
    <w:rsid w:val="00964A2B"/>
    <w:rsid w:val="00974E91"/>
    <w:rsid w:val="009801A7"/>
    <w:rsid w:val="009B4BE6"/>
    <w:rsid w:val="009B6D2B"/>
    <w:rsid w:val="009C27A0"/>
    <w:rsid w:val="009C3EB6"/>
    <w:rsid w:val="009E31DC"/>
    <w:rsid w:val="009F503F"/>
    <w:rsid w:val="00A11610"/>
    <w:rsid w:val="00A17829"/>
    <w:rsid w:val="00A17D7C"/>
    <w:rsid w:val="00A21690"/>
    <w:rsid w:val="00A51FCA"/>
    <w:rsid w:val="00A63EAC"/>
    <w:rsid w:val="00A6504B"/>
    <w:rsid w:val="00A81846"/>
    <w:rsid w:val="00AD0B83"/>
    <w:rsid w:val="00AD4FCD"/>
    <w:rsid w:val="00AF6D69"/>
    <w:rsid w:val="00B01CE8"/>
    <w:rsid w:val="00B0659D"/>
    <w:rsid w:val="00B1645B"/>
    <w:rsid w:val="00B210E8"/>
    <w:rsid w:val="00B34B21"/>
    <w:rsid w:val="00B360CB"/>
    <w:rsid w:val="00B412B9"/>
    <w:rsid w:val="00B80840"/>
    <w:rsid w:val="00B843AE"/>
    <w:rsid w:val="00B84AB8"/>
    <w:rsid w:val="00B947A0"/>
    <w:rsid w:val="00BA1A1F"/>
    <w:rsid w:val="00BA6BBC"/>
    <w:rsid w:val="00BB03A6"/>
    <w:rsid w:val="00BD15B7"/>
    <w:rsid w:val="00BF75C1"/>
    <w:rsid w:val="00C0411B"/>
    <w:rsid w:val="00C11B2A"/>
    <w:rsid w:val="00C14BF8"/>
    <w:rsid w:val="00C1587B"/>
    <w:rsid w:val="00C24076"/>
    <w:rsid w:val="00C31E08"/>
    <w:rsid w:val="00C350D5"/>
    <w:rsid w:val="00C4007C"/>
    <w:rsid w:val="00C46472"/>
    <w:rsid w:val="00C46B6F"/>
    <w:rsid w:val="00C47CAE"/>
    <w:rsid w:val="00C61BD2"/>
    <w:rsid w:val="00C647F5"/>
    <w:rsid w:val="00C65CE7"/>
    <w:rsid w:val="00C75928"/>
    <w:rsid w:val="00C77279"/>
    <w:rsid w:val="00CB27BC"/>
    <w:rsid w:val="00CB535E"/>
    <w:rsid w:val="00CD464A"/>
    <w:rsid w:val="00CD5256"/>
    <w:rsid w:val="00CE794F"/>
    <w:rsid w:val="00CF0335"/>
    <w:rsid w:val="00D002E5"/>
    <w:rsid w:val="00D03A4B"/>
    <w:rsid w:val="00D03D46"/>
    <w:rsid w:val="00D12F69"/>
    <w:rsid w:val="00D15AF8"/>
    <w:rsid w:val="00D30B9E"/>
    <w:rsid w:val="00D37979"/>
    <w:rsid w:val="00D52BC4"/>
    <w:rsid w:val="00D803A9"/>
    <w:rsid w:val="00D92ACC"/>
    <w:rsid w:val="00DA258B"/>
    <w:rsid w:val="00DA4B0F"/>
    <w:rsid w:val="00DA5539"/>
    <w:rsid w:val="00DA7F6D"/>
    <w:rsid w:val="00DB3FEE"/>
    <w:rsid w:val="00DC5145"/>
    <w:rsid w:val="00DC5F56"/>
    <w:rsid w:val="00DE38CC"/>
    <w:rsid w:val="00DE7356"/>
    <w:rsid w:val="00E05937"/>
    <w:rsid w:val="00E16262"/>
    <w:rsid w:val="00E30489"/>
    <w:rsid w:val="00E44202"/>
    <w:rsid w:val="00E53B07"/>
    <w:rsid w:val="00E54359"/>
    <w:rsid w:val="00E606CE"/>
    <w:rsid w:val="00E75775"/>
    <w:rsid w:val="00EA0EAE"/>
    <w:rsid w:val="00EB5070"/>
    <w:rsid w:val="00ED0DBB"/>
    <w:rsid w:val="00EE3AA6"/>
    <w:rsid w:val="00EE5F6E"/>
    <w:rsid w:val="00F04A91"/>
    <w:rsid w:val="00F1651C"/>
    <w:rsid w:val="00F174FA"/>
    <w:rsid w:val="00F17921"/>
    <w:rsid w:val="00F21270"/>
    <w:rsid w:val="00F2497E"/>
    <w:rsid w:val="00F3696C"/>
    <w:rsid w:val="00F4470A"/>
    <w:rsid w:val="00F54ECB"/>
    <w:rsid w:val="00F62059"/>
    <w:rsid w:val="00F64C93"/>
    <w:rsid w:val="00F91611"/>
    <w:rsid w:val="00FA4265"/>
    <w:rsid w:val="00FA5103"/>
    <w:rsid w:val="00FB2B14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2C5ED3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diego.castilloaliaga@gmail.com</cp:lastModifiedBy>
  <cp:revision>668</cp:revision>
  <cp:lastPrinted>2025-12-31T17:06:00Z</cp:lastPrinted>
  <dcterms:created xsi:type="dcterms:W3CDTF">2026-01-07T15:01:00Z</dcterms:created>
  <dcterms:modified xsi:type="dcterms:W3CDTF">2026-01-17T18:40:00Z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